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A2F" w:rsidRDefault="00B55A2F">
      <w:pPr>
        <w:tabs>
          <w:tab w:val="left" w:pos="567"/>
          <w:tab w:val="left" w:pos="4820"/>
        </w:tabs>
        <w:spacing w:line="240" w:lineRule="atLeast"/>
        <w:jc w:val="left"/>
        <w:rPr>
          <w:b/>
          <w:color w:val="000000"/>
          <w:lang w:val="sv-SE"/>
        </w:rPr>
      </w:pPr>
      <w:bookmarkStart w:id="0" w:name="_GoBack"/>
      <w:bookmarkEnd w:id="0"/>
      <w:r>
        <w:rPr>
          <w:b/>
          <w:color w:val="000000"/>
          <w:lang w:val="sv-SE"/>
        </w:rPr>
        <w:t>Geografiska och infrastrukturella faktorer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  <w:r>
        <w:rPr>
          <w:color w:val="000000"/>
          <w:lang w:val="sv-SE"/>
        </w:rPr>
        <w:tab/>
      </w: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  <w:tab w:val="left" w:pos="1206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Platsförhållanden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Extrema väderförhållanden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Stark vind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Regn, snö, dimma, översvämningar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 fabriksplats eller montageplats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Nivå över havet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Topografi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Markförhållanden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Tillgänglig markyta</w:t>
            </w:r>
          </w:p>
          <w:p w:rsidR="00B55A2F" w:rsidRDefault="00B55A2F">
            <w:pPr>
              <w:tabs>
                <w:tab w:val="left" w:pos="1065"/>
                <w:tab w:val="left" w:pos="1206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Tillfartsvägar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Miljöskydd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Föroreningar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Luft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 xml:space="preserve">                   Mark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Vatten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Infrastruktur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Flyganslutningar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Hamnmöjligheter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Vägar, järnvägar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Telekommunikationer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Postsystem, kurirsystem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El &amp; vatten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Elektriska anslutningar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Vattenanslutning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Avloppsanslutning</w:t>
            </w:r>
          </w:p>
          <w:p w:rsidR="00B55A2F" w:rsidRDefault="00B55A2F">
            <w:pPr>
              <w:tabs>
                <w:tab w:val="left" w:pos="567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Hälsovård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Säkerhetsregler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Geosociala faktorer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Kulturella faktorer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Faktorer i tillverknings- eller utförandelandet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Arbetskraftsoroligheter  (strejker, maskning)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Exportrestriktioner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Embargon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Hälsa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Smittspridningar i området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 xml:space="preserve">Brott 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Våld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Upplopp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Sabotage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Stölder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Svindlerier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Politiska faktorer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Politiskt system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Politisk stabilitet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på lokal tillverkning eller lokala köp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Krav på lokalt ägande eller lokalt joint venture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Legalt system, legal praxis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Arbetsmarknadslagar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Arbetskraftsoroligheter (strejk, maskning)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Licenser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Polisstyrka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Tillståndsgivning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på lokala försäkringar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Byråkratiska eller oförutsägbara skatter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Tullar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Tullklassifikation, tulltariffer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Importrestriktioner, byråkrati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Konflikter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Etniska eller religiösa konflikter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Militära ingrepp / krig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Språk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Geoekonomiska faktorer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Särskilda faktorer I tillverkningslandet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Skatter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Myndighetsinterventioner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 xml:space="preserve">Finansiell stabilitet 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Banksystem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Inflation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Räntenivå, räntevariationer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Valutakurs, valutakursvariationer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Penningtransferabilitet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Leverantörens finansiella stabilitet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Betalningsstörningar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Konkursrisk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Löner, löneförändringar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Skatter, skatteförändringar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Teknologi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Särskilda kontraktskrav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Elektromagnetisk påverkan / störning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Markförhållanden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Utsläpp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Buller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Korrosion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Underhållbarhet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Standards/norms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Dokumentation och ritningar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Reservdelar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Säkerhetsåtgärder (brand, explosion, utsläpp, jordbävning)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Kvalitet: Verifiering, validering, kontroll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Tekniköverföring 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Definierad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Särskilt avtal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Teknisk specifikation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Vag beskrivning, osäker leveransomfattning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Orealistiska eller kostsamma lösningar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Lösningar eller teknologi utvecklad av leverantören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Leverantörens prestandaåtaganden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Tillförlitlighet eller tillgänglighet (nivå, definition, kalkylering, mätmetod)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Livstid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Livstidskostnader (LCC)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Leveransförsening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Produktionskapacitet eller motsvarande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Definition av testdata, testkörning etc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34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Tekniska gränssnitt eller leveransgränser</w:t>
            </w:r>
          </w:p>
          <w:p w:rsidR="00B55A2F" w:rsidRDefault="00B55A2F">
            <w:pPr>
              <w:tabs>
                <w:tab w:val="left" w:pos="498"/>
                <w:tab w:val="left" w:pos="134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Existerande utrustning</w:t>
            </w:r>
          </w:p>
          <w:p w:rsidR="00B55A2F" w:rsidRDefault="00B55A2F">
            <w:pPr>
              <w:tabs>
                <w:tab w:val="left" w:pos="498"/>
                <w:tab w:val="left" w:pos="134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Utrustning tillhörande sidoleverantörer eller partners</w:t>
            </w:r>
          </w:p>
          <w:p w:rsidR="00B55A2F" w:rsidRDefault="00B55A2F">
            <w:pPr>
              <w:tabs>
                <w:tab w:val="left" w:pos="498"/>
                <w:tab w:val="left" w:pos="134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Ansvar för prestanda eller kvalitet i slutprodukten </w:t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Ny eller beprövad teknologi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Väsentliga innovationer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Första leverans av detta slag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Involvering av ny teknologi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Avancerad eller komplex mjukvara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Nya material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lastRenderedPageBreak/>
              <w:tab/>
              <w:t>Ny teknologi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Nytt användningsområde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Teknisk uppgradering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Omfattning överstiger tidigare leveransomfattningar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Känslig utrustning eller komponenter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Vår beställarorganisation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Organisation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Struktur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Temporär organisation, konsortium etc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Separata organisationer för tekniska och kommersiella frågor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Beslutskedja</w:t>
            </w:r>
            <w:r>
              <w:rPr>
                <w:color w:val="000000"/>
                <w:sz w:val="20"/>
                <w:lang w:val="sv-SE"/>
              </w:rPr>
              <w:tab/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Godkännande och beslutsprocedurer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Delegering av befogenheter</w:t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Kulturellt beteende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Byråkrati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Beslutsprocess, beslutsfaktorer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Affärsetik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Attityd till arbete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Ansvarstagande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Attityder mot 'expats'</w:t>
            </w:r>
          </w:p>
          <w:p w:rsidR="00B55A2F" w:rsidRDefault="00B55A2F">
            <w:pPr>
              <w:tabs>
                <w:tab w:val="left" w:pos="498"/>
              </w:tabs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Miljömedvetenhet</w:t>
            </w:r>
          </w:p>
          <w:p w:rsidR="00B55A2F" w:rsidRDefault="00B55A2F">
            <w:pPr>
              <w:tabs>
                <w:tab w:val="left" w:pos="498"/>
              </w:tabs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Kontraktshantering</w:t>
            </w:r>
          </w:p>
          <w:p w:rsidR="00B55A2F" w:rsidRDefault="00B55A2F">
            <w:pPr>
              <w:tabs>
                <w:tab w:val="left" w:pos="498"/>
              </w:tabs>
              <w:ind w:left="498" w:hanging="498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Förändringsvilja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Resurser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Nödvändig kompetens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Projektadministration (Projektledare, kvalitetssäkring)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Tekniska discipliner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Beroende av specialister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Stridsvilja (interna projekt)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Realistiska mål 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Accepterade mål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Accepterade roller</w:t>
            </w:r>
          </w:p>
          <w:p w:rsidR="00B55A2F" w:rsidRDefault="00B55A2F">
            <w:pPr>
              <w:tabs>
                <w:tab w:val="left" w:pos="498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Motivation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pageBreakBefore/>
        <w:tabs>
          <w:tab w:val="left" w:pos="567"/>
        </w:tabs>
        <w:spacing w:line="240" w:lineRule="atLeast"/>
        <w:jc w:val="left"/>
        <w:rPr>
          <w:b/>
          <w:color w:val="000000"/>
          <w:lang w:val="sv-SE"/>
        </w:rPr>
      </w:pPr>
      <w:r>
        <w:rPr>
          <w:b/>
          <w:color w:val="000000"/>
          <w:lang w:val="sv-SE"/>
        </w:rPr>
        <w:lastRenderedPageBreak/>
        <w:t>Leveransekonomi, kontraktsekonomi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color w:val="000000"/>
          <w:lang w:val="sv-SE"/>
        </w:rPr>
      </w:pPr>
    </w:p>
    <w:tbl>
      <w:tblPr>
        <w:tblW w:w="0" w:type="auto"/>
        <w:tblInd w:w="-8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4677"/>
        <w:gridCol w:w="1590"/>
      </w:tblGrid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Risk eller möjlighet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Svar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lang w:val="sv-SE"/>
              </w:rPr>
            </w:pPr>
            <w:r>
              <w:rPr>
                <w:color w:val="000000"/>
                <w:lang w:val="sv-SE"/>
              </w:rPr>
              <w:t>Ansvarig</w:t>
            </w: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Avtalsvillkor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Kontraktstyp (klumpköp, generiskt köp, hyra osv)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Tillämplig lag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Kontraktsspråk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Tvistelösning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Force Majeure klausul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Hävning, fördröjning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Procedur för partskommunikation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Leveransviten</w:t>
            </w:r>
          </w:p>
          <w:p w:rsidR="00B55A2F" w:rsidRDefault="00B55A2F">
            <w:pPr>
              <w:tabs>
                <w:tab w:val="left" w:pos="498"/>
                <w:tab w:val="left" w:pos="639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Skadestånd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Oklarheter 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Balans mellan parterna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Leveransomfattning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Funktionsåtaganden (dvs ej detaljlösningar)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Ny teknologi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Specifikationens tydlighet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Verifiering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Validering, godkännande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Montageuppdrag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Förberedelse av montageplats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Övervakning, tillsyn, kontroll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Reservdelar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Leverans av testmaterial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Service och underhåll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på lokala köp/arbetskraft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Transporter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Packnings instruktioner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Leveransvillkor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Kontraktets ikraftträdande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Villkorade förutsättningar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Tidsgränser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Tidplan och leveranstid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Tiden såsom mätetal, användning och definition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Krav för start av leveranstid</w:t>
            </w:r>
          </w:p>
          <w:p w:rsidR="00B55A2F" w:rsidRDefault="00B55A2F">
            <w:pPr>
              <w:pStyle w:val="Brdtextmedindrag31"/>
              <w:tabs>
                <w:tab w:val="clear" w:pos="639"/>
                <w:tab w:val="left" w:pos="498"/>
              </w:tabs>
              <w:ind w:left="498" w:hanging="498"/>
              <w:rPr>
                <w:sz w:val="20"/>
                <w:lang w:val="sv-SE"/>
              </w:rPr>
            </w:pPr>
            <w:r>
              <w:rPr>
                <w:sz w:val="20"/>
                <w:lang w:val="sv-SE"/>
              </w:rPr>
              <w:tab/>
              <w:t>Krav för innehållen färdigställandetid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Definition av våra skyldigheter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Tillstånd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lastRenderedPageBreak/>
              <w:tab/>
            </w:r>
            <w:r>
              <w:rPr>
                <w:color w:val="000000"/>
                <w:sz w:val="20"/>
                <w:lang w:val="sv-SE"/>
              </w:rPr>
              <w:tab/>
              <w:t>Tillhandahållande av designdata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Granskning och godkännande av dokument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Kompensation och/eller förlängning vid vår försening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Konsekvenser/ansvar vid försening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Flexibilitet i tidsplanen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Godkännande kriterium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Kriterium för färdigställande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Kriterium för verifiering och validering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Kriterium för preskription av ansvar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Betalningsflöden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Betalningsvillkor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Betalningsvaluta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Verkställande av betalningar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Specifikation av villkor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Säker betalning (L/C, warehouse certificate, EKN, etc)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Kontroll av betalningsdokument (ex faktura)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Betalningsprocedur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Betalningsförsening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Kompensation för försening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Konsekvens av väsentlig försening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Hävningsrätt, rätt till leveransvägran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Betalningstidpunkter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Projektförseningars inverkan på betalningstidsplanen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Kassaflöden (egna och främmande valutor)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Betalningsrisker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Valutakursvariationer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Prisindexeringar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Tull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Import/export restriktioner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 xml:space="preserve">Procedurer för licenser och importtillstånd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Lokal beskattning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Undvikande (vad krävs)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Procedurer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Skattetaxor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Kan förändringar förväntas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Försäkringar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498"/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Ändrings- och tilläggsarbeten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Begränsningar, restriktioner</w:t>
            </w:r>
          </w:p>
          <w:p w:rsidR="00B55A2F" w:rsidRDefault="00B55A2F">
            <w:pPr>
              <w:tabs>
                <w:tab w:val="left" w:pos="498"/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Klausuler för beräkning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  <w:tr w:rsidR="00B55A2F">
        <w:tc>
          <w:tcPr>
            <w:tcW w:w="6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1065"/>
              </w:tabs>
              <w:snapToGrid w:val="0"/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>Säkerheter och ansvarsförbindelser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lastRenderedPageBreak/>
              <w:tab/>
              <w:t>Säkerheter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Tidsgränser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Ikraftträdande för avtalet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Anbudsgarantier (Bid bond)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Förskottsgarantier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Fullgörandegarantier (reduktionsbestämmelser)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Retentionsbetalning eller garanti</w:t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Reduktion i förhållande till prestation</w:t>
            </w:r>
            <w:r>
              <w:rPr>
                <w:color w:val="000000"/>
                <w:sz w:val="20"/>
                <w:lang w:val="sv-SE"/>
              </w:rPr>
              <w:tab/>
            </w:r>
          </w:p>
          <w:p w:rsidR="00B55A2F" w:rsidRDefault="00B55A2F">
            <w:pPr>
              <w:tabs>
                <w:tab w:val="left" w:pos="1065"/>
              </w:tabs>
              <w:spacing w:line="240" w:lineRule="atLeast"/>
              <w:ind w:left="498" w:hanging="498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  <w:t>Design/material</w:t>
            </w:r>
          </w:p>
          <w:p w:rsidR="00B55A2F" w:rsidRDefault="00B55A2F">
            <w:pPr>
              <w:tabs>
                <w:tab w:val="left" w:pos="567"/>
              </w:tabs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  <w:r>
              <w:rPr>
                <w:color w:val="000000"/>
                <w:sz w:val="20"/>
                <w:lang w:val="sv-SE"/>
              </w:rPr>
              <w:tab/>
            </w:r>
            <w:r>
              <w:rPr>
                <w:color w:val="000000"/>
                <w:sz w:val="20"/>
                <w:lang w:val="sv-SE"/>
              </w:rPr>
              <w:tab/>
              <w:t>Dolda fel</w:t>
            </w:r>
            <w:r>
              <w:rPr>
                <w:color w:val="000000"/>
                <w:sz w:val="20"/>
                <w:lang w:val="sv-SE"/>
              </w:rPr>
              <w:tab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5A2F" w:rsidRDefault="00B55A2F">
            <w:pPr>
              <w:tabs>
                <w:tab w:val="left" w:pos="567"/>
              </w:tabs>
              <w:snapToGrid w:val="0"/>
              <w:spacing w:line="240" w:lineRule="atLeast"/>
              <w:jc w:val="left"/>
              <w:rPr>
                <w:color w:val="000000"/>
                <w:sz w:val="20"/>
                <w:lang w:val="sv-SE"/>
              </w:rPr>
            </w:pP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p w:rsidR="00B55A2F" w:rsidRDefault="00B55A2F">
      <w:pPr>
        <w:tabs>
          <w:tab w:val="left" w:pos="567"/>
        </w:tabs>
        <w:spacing w:line="240" w:lineRule="atLeast"/>
        <w:jc w:val="left"/>
        <w:rPr>
          <w:lang w:val="sv-SE"/>
        </w:rPr>
      </w:pPr>
      <w:r>
        <w:rPr>
          <w:lang w:val="sv-SE"/>
        </w:rPr>
        <w:t xml:space="preserve"> </w:t>
      </w:r>
    </w:p>
    <w:p w:rsidR="00B55A2F" w:rsidRDefault="00B55A2F">
      <w:pPr>
        <w:tabs>
          <w:tab w:val="left" w:pos="567"/>
        </w:tabs>
        <w:spacing w:line="240" w:lineRule="atLeast"/>
        <w:jc w:val="left"/>
        <w:rPr>
          <w:lang w:val="sv-SE"/>
        </w:rPr>
      </w:pPr>
    </w:p>
    <w:p w:rsidR="00B55A2F" w:rsidRDefault="00B55A2F"/>
    <w:tbl>
      <w:tblPr>
        <w:tblW w:w="0" w:type="auto"/>
        <w:tblInd w:w="-25" w:type="dxa"/>
        <w:tblLayout w:type="fixed"/>
        <w:tblLook w:val="0000" w:firstRow="0" w:lastRow="0" w:firstColumn="0" w:lastColumn="0" w:noHBand="0" w:noVBand="0"/>
      </w:tblPr>
      <w:tblGrid>
        <w:gridCol w:w="2528"/>
        <w:gridCol w:w="640"/>
        <w:gridCol w:w="2880"/>
        <w:gridCol w:w="1492"/>
        <w:gridCol w:w="1618"/>
      </w:tblGrid>
      <w:tr w:rsidR="00B55A2F">
        <w:trPr>
          <w:cantSplit/>
          <w:trHeight w:hRule="exact" w:val="255"/>
        </w:trPr>
        <w:tc>
          <w:tcPr>
            <w:tcW w:w="252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7164C6">
            <w:pPr>
              <w:snapToGrid w:val="0"/>
              <w:spacing w:before="60"/>
              <w:rPr>
                <w:rFonts w:cs="Arial"/>
                <w:sz w:val="16"/>
                <w:szCs w:val="16"/>
              </w:rPr>
            </w:pPr>
            <w:r>
              <w:rPr>
                <w:noProof/>
                <w:sz w:val="20"/>
                <w:lang w:val="sv-SE" w:eastAsia="sv-SE"/>
              </w:rPr>
              <w:drawing>
                <wp:inline distT="0" distB="0" distL="0" distR="0">
                  <wp:extent cx="1187450" cy="412750"/>
                  <wp:effectExtent l="0" t="0" r="0" b="6350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7450" cy="412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12" w:type="dxa"/>
            <w:gridSpan w:val="3"/>
            <w:tcBorders>
              <w:top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spacing w:before="60"/>
              <w:rPr>
                <w:rFonts w:cs="Arial"/>
                <w:sz w:val="16"/>
                <w:szCs w:val="16"/>
              </w:rPr>
            </w:pPr>
          </w:p>
        </w:tc>
        <w:tc>
          <w:tcPr>
            <w:tcW w:w="161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Sida (Sidantal)</w:t>
            </w:r>
          </w:p>
        </w:tc>
      </w:tr>
      <w:tr w:rsidR="00B55A2F">
        <w:trPr>
          <w:cantSplit/>
        </w:trPr>
        <w:tc>
          <w:tcPr>
            <w:tcW w:w="252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/>
        </w:tc>
        <w:tc>
          <w:tcPr>
            <w:tcW w:w="5012" w:type="dxa"/>
            <w:gridSpan w:val="3"/>
            <w:tcBorders>
              <w:bottom w:val="single" w:sz="4" w:space="0" w:color="000000"/>
            </w:tcBorders>
            <w:vAlign w:val="bottom"/>
          </w:tcPr>
          <w:p w:rsidR="00B55A2F" w:rsidRPr="00B55A2F" w:rsidRDefault="00B55A2F">
            <w:pPr>
              <w:snapToGrid w:val="0"/>
              <w:spacing w:before="60"/>
              <w:rPr>
                <w:rFonts w:cs="Arial"/>
                <w:sz w:val="20"/>
                <w:lang w:val="sv-SE"/>
              </w:rPr>
            </w:pPr>
            <w:r w:rsidRPr="00B55A2F">
              <w:rPr>
                <w:rFonts w:cs="Arial"/>
                <w:sz w:val="20"/>
                <w:lang w:val="sv-SE"/>
              </w:rPr>
              <w:t>Checklista riskbedömning vid inköp eller upphandling</w:t>
            </w:r>
          </w:p>
        </w:tc>
        <w:tc>
          <w:tcPr>
            <w:tcW w:w="16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spacing w:before="6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(9)</w:t>
            </w:r>
          </w:p>
        </w:tc>
      </w:tr>
      <w:tr w:rsidR="00B55A2F">
        <w:trPr>
          <w:trHeight w:val="1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Dokumentnummer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Utgåva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Dokumentdatum</w:t>
            </w:r>
          </w:p>
        </w:tc>
      </w:tr>
      <w:tr w:rsidR="00B55A2F">
        <w:trPr>
          <w:trHeight w:val="227"/>
        </w:trPr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1001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X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2009-05-06</w:t>
            </w:r>
          </w:p>
        </w:tc>
      </w:tr>
      <w:tr w:rsidR="00B55A2F">
        <w:trPr>
          <w:trHeight w:val="170"/>
        </w:trPr>
        <w:tc>
          <w:tcPr>
            <w:tcW w:w="3168" w:type="dxa"/>
            <w:gridSpan w:val="2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Dokumenttyp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Granskningsstatus</w:t>
            </w:r>
          </w:p>
        </w:tc>
        <w:tc>
          <w:tcPr>
            <w:tcW w:w="3110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Utfärdare, granskare</w:t>
            </w:r>
          </w:p>
        </w:tc>
      </w:tr>
      <w:tr w:rsidR="00B55A2F">
        <w:trPr>
          <w:trHeight w:val="227"/>
        </w:trPr>
        <w:tc>
          <w:tcPr>
            <w:tcW w:w="3168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Text</w:t>
            </w:r>
          </w:p>
        </w:tc>
        <w:tc>
          <w:tcPr>
            <w:tcW w:w="2880" w:type="dxa"/>
            <w:tcBorders>
              <w:left w:val="single" w:sz="4" w:space="0" w:color="000000"/>
              <w:bottom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Förslag</w:t>
            </w:r>
          </w:p>
        </w:tc>
        <w:tc>
          <w:tcPr>
            <w:tcW w:w="31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55A2F" w:rsidRDefault="00B55A2F">
            <w:pPr>
              <w:snapToGrid w:val="0"/>
              <w:rPr>
                <w:rFonts w:cs="Arial"/>
              </w:rPr>
            </w:pPr>
            <w:r>
              <w:rPr>
                <w:rFonts w:cs="Arial"/>
              </w:rPr>
              <w:t>TS, ..</w:t>
            </w:r>
          </w:p>
        </w:tc>
      </w:tr>
    </w:tbl>
    <w:p w:rsidR="00B55A2F" w:rsidRDefault="00B55A2F">
      <w:pPr>
        <w:tabs>
          <w:tab w:val="left" w:pos="567"/>
        </w:tabs>
        <w:spacing w:line="240" w:lineRule="atLeast"/>
        <w:jc w:val="left"/>
      </w:pPr>
    </w:p>
    <w:sectPr w:rsidR="00B55A2F">
      <w:headerReference w:type="default" r:id="rId8"/>
      <w:headerReference w:type="first" r:id="rId9"/>
      <w:footnotePr>
        <w:pos w:val="beneathText"/>
      </w:footnotePr>
      <w:pgSz w:w="16837" w:h="11905" w:orient="landscape"/>
      <w:pgMar w:top="850" w:right="1987" w:bottom="1138" w:left="1411" w:header="403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2134" w:rsidRDefault="00E42134">
      <w:r>
        <w:separator/>
      </w:r>
    </w:p>
  </w:endnote>
  <w:endnote w:type="continuationSeparator" w:id="0">
    <w:p w:rsidR="00E42134" w:rsidRDefault="00E42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2134" w:rsidRDefault="00E42134">
      <w:r>
        <w:separator/>
      </w:r>
    </w:p>
  </w:footnote>
  <w:footnote w:type="continuationSeparator" w:id="0">
    <w:p w:rsidR="00E42134" w:rsidRDefault="00E421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tabs>
        <w:tab w:val="left" w:pos="567"/>
        <w:tab w:val="left" w:pos="10206"/>
      </w:tabs>
      <w:spacing w:line="240" w:lineRule="atLeast"/>
      <w:jc w:val="left"/>
      <w:rPr>
        <w:b/>
        <w:color w:val="000000"/>
        <w:u w:val="single"/>
        <w:lang w:val="sv-SE"/>
      </w:rPr>
    </w:pPr>
    <w:r>
      <w:rPr>
        <w:b/>
        <w:color w:val="000000"/>
        <w:u w:val="single"/>
        <w:lang w:val="sv-SE"/>
      </w:rPr>
      <w:t>Bedömning av risker och möjligheter vid inköp och upphandling</w:t>
    </w:r>
  </w:p>
  <w:p w:rsidR="00B55A2F" w:rsidRPr="00B55A2F" w:rsidRDefault="00B55A2F">
    <w:pPr>
      <w:pStyle w:val="Sidhuvud"/>
      <w:jc w:val="left"/>
      <w:rPr>
        <w:lang w:val="sv-SE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A2F" w:rsidRDefault="00B55A2F">
    <w:pPr>
      <w:tabs>
        <w:tab w:val="left" w:pos="567"/>
        <w:tab w:val="left" w:pos="10206"/>
      </w:tabs>
      <w:spacing w:line="240" w:lineRule="atLeast"/>
      <w:jc w:val="left"/>
      <w:rPr>
        <w:b/>
        <w:color w:val="000000"/>
        <w:u w:val="single"/>
        <w:lang w:val="sv-SE"/>
      </w:rPr>
    </w:pPr>
    <w:r>
      <w:rPr>
        <w:b/>
        <w:color w:val="000000"/>
        <w:u w:val="single"/>
        <w:lang w:val="sv-SE"/>
      </w:rPr>
      <w:t>Bedömning av risker och möjligheter vid inköp och upphandling (PEST-analys)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39"/>
    <w:rsid w:val="007164C6"/>
    <w:rsid w:val="00885239"/>
    <w:rsid w:val="00B55A2F"/>
    <w:rsid w:val="00E42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  <w:jc w:val="both"/>
    </w:pPr>
    <w:rPr>
      <w:rFonts w:ascii="Arial" w:hAnsi="Arial"/>
      <w:sz w:val="24"/>
      <w:lang w:val="en-US" w:eastAsia="ar-SA"/>
    </w:rPr>
  </w:style>
  <w:style w:type="paragraph" w:styleId="Rubrik1">
    <w:name w:val="heading 1"/>
    <w:basedOn w:val="Normal"/>
    <w:next w:val="Normal"/>
    <w:qFormat/>
    <w:pPr>
      <w:keepNext/>
      <w:numPr>
        <w:numId w:val="1"/>
      </w:numPr>
      <w:spacing w:before="300" w:after="120"/>
      <w:outlineLvl w:val="0"/>
    </w:pPr>
    <w:rPr>
      <w:rFonts w:ascii="Helv" w:hAnsi="Helv"/>
      <w:b/>
    </w:rPr>
  </w:style>
  <w:style w:type="paragraph" w:styleId="Rubrik2">
    <w:name w:val="heading 2"/>
    <w:basedOn w:val="Normal"/>
    <w:next w:val="Normal"/>
    <w:qFormat/>
    <w:pPr>
      <w:keepNext/>
      <w:numPr>
        <w:ilvl w:val="1"/>
        <w:numId w:val="1"/>
      </w:numPr>
      <w:spacing w:before="240" w:after="60"/>
      <w:outlineLvl w:val="1"/>
    </w:pPr>
    <w:rPr>
      <w:b/>
    </w:rPr>
  </w:style>
  <w:style w:type="paragraph" w:styleId="Rubrik3">
    <w:name w:val="heading 3"/>
    <w:basedOn w:val="Normal"/>
    <w:next w:val="Normal"/>
    <w:qFormat/>
    <w:pPr>
      <w:keepNext/>
      <w:numPr>
        <w:ilvl w:val="2"/>
        <w:numId w:val="1"/>
      </w:numPr>
      <w:spacing w:before="120" w:after="60"/>
      <w:ind w:left="720"/>
      <w:outlineLvl w:val="2"/>
    </w:pPr>
    <w:rPr>
      <w:b/>
    </w:rPr>
  </w:style>
  <w:style w:type="paragraph" w:styleId="Rubrik4">
    <w:name w:val="heading 4"/>
    <w:basedOn w:val="Normal"/>
    <w:next w:val="Normal"/>
    <w:qFormat/>
    <w:pPr>
      <w:keepNext/>
      <w:numPr>
        <w:ilvl w:val="3"/>
        <w:numId w:val="1"/>
      </w:numPr>
      <w:spacing w:before="240"/>
      <w:outlineLvl w:val="3"/>
    </w:pPr>
    <w:rPr>
      <w:b/>
    </w:rPr>
  </w:style>
  <w:style w:type="paragraph" w:styleId="Rubrik5">
    <w:name w:val="heading 5"/>
    <w:basedOn w:val="Normal"/>
    <w:next w:val="Normal"/>
    <w:qFormat/>
    <w:pPr>
      <w:numPr>
        <w:ilvl w:val="4"/>
        <w:numId w:val="1"/>
      </w:numPr>
      <w:spacing w:before="240" w:after="60"/>
      <w:outlineLvl w:val="4"/>
    </w:pPr>
    <w:rPr>
      <w:b/>
      <w:sz w:val="22"/>
    </w:rPr>
  </w:style>
  <w:style w:type="paragraph" w:styleId="Rubrik6">
    <w:name w:val="heading 6"/>
    <w:basedOn w:val="Normal"/>
    <w:next w:val="Norma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Rubrik7">
    <w:name w:val="heading 7"/>
    <w:basedOn w:val="Normal"/>
    <w:next w:val="Normal"/>
    <w:qFormat/>
    <w:pPr>
      <w:numPr>
        <w:ilvl w:val="6"/>
        <w:numId w:val="1"/>
      </w:numPr>
      <w:spacing w:before="240" w:after="60"/>
      <w:outlineLvl w:val="6"/>
    </w:pPr>
  </w:style>
  <w:style w:type="paragraph" w:styleId="Rubrik8">
    <w:name w:val="heading 8"/>
    <w:basedOn w:val="Normal"/>
    <w:next w:val="Normal"/>
    <w:qFormat/>
    <w:pPr>
      <w:numPr>
        <w:ilvl w:val="7"/>
        <w:numId w:val="1"/>
      </w:numPr>
      <w:spacing w:before="240" w:after="60"/>
      <w:outlineLvl w:val="7"/>
    </w:pPr>
    <w:rPr>
      <w:i/>
    </w:rPr>
  </w:style>
  <w:style w:type="paragraph" w:styleId="Rubrik9">
    <w:name w:val="heading 9"/>
    <w:basedOn w:val="Normal"/>
    <w:next w:val="Normal"/>
    <w:qFormat/>
    <w:pPr>
      <w:numPr>
        <w:ilvl w:val="8"/>
        <w:numId w:val="1"/>
      </w:numPr>
      <w:spacing w:before="240" w:after="60"/>
      <w:outlineLvl w:val="8"/>
    </w:pPr>
    <w:rPr>
      <w:i/>
      <w:sz w:val="18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semiHidden/>
  </w:style>
  <w:style w:type="character" w:customStyle="1" w:styleId="Standardstycketeckensnitt2">
    <w:name w:val="Standardstycketeckensnitt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6z0">
    <w:name w:val="WW8Num6z0"/>
    <w:rPr>
      <w:rFonts w:ascii="Times New Roman" w:hAnsi="Times New Roman"/>
    </w:rPr>
  </w:style>
  <w:style w:type="character" w:customStyle="1" w:styleId="WW8Num7z0">
    <w:name w:val="WW8Num7z0"/>
    <w:rPr>
      <w:u w:val="none"/>
    </w:rPr>
  </w:style>
  <w:style w:type="character" w:customStyle="1" w:styleId="WW8Num20z0">
    <w:name w:val="WW8Num20z0"/>
    <w:rPr>
      <w:rFonts w:ascii="Times New Roman" w:hAnsi="Times New Roman"/>
    </w:rPr>
  </w:style>
  <w:style w:type="character" w:customStyle="1" w:styleId="Standardstycketeckensnitt1">
    <w:name w:val="Standardstycketeckensnitt1"/>
  </w:style>
  <w:style w:type="character" w:styleId="Sidnummer">
    <w:name w:val="page number"/>
    <w:basedOn w:val="Standardstycketeckensnitt1"/>
  </w:style>
  <w:style w:type="paragraph" w:customStyle="1" w:styleId="verskrift">
    <w:name w:val="Överskrift"/>
    <w:basedOn w:val="Normal"/>
    <w:next w:val="Brdtext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Brdtext">
    <w:name w:val="Body Text"/>
    <w:basedOn w:val="Normal"/>
    <w:pPr>
      <w:tabs>
        <w:tab w:val="left" w:pos="567"/>
      </w:tabs>
      <w:spacing w:line="240" w:lineRule="atLeast"/>
      <w:jc w:val="left"/>
    </w:pPr>
    <w:rPr>
      <w:color w:val="000000"/>
    </w:rPr>
  </w:style>
  <w:style w:type="paragraph" w:styleId="Lista">
    <w:name w:val="List"/>
    <w:basedOn w:val="Normal"/>
    <w:pPr>
      <w:ind w:left="360" w:hanging="360"/>
    </w:pPr>
  </w:style>
  <w:style w:type="paragraph" w:customStyle="1" w:styleId="Bildtext">
    <w:name w:val="Bildtext"/>
    <w:basedOn w:val="Normal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Frteckning">
    <w:name w:val="Förteckning"/>
    <w:basedOn w:val="Normal"/>
    <w:pPr>
      <w:suppressLineNumbers/>
    </w:pPr>
    <w:rPr>
      <w:rFonts w:cs="Tahoma"/>
    </w:rPr>
  </w:style>
  <w:style w:type="paragraph" w:customStyle="1" w:styleId="Normaltindrag1">
    <w:name w:val="Normalt indrag1"/>
    <w:basedOn w:val="Normal"/>
    <w:pPr>
      <w:ind w:left="567"/>
    </w:pPr>
  </w:style>
  <w:style w:type="paragraph" w:styleId="Sidfot">
    <w:name w:val="footer"/>
    <w:basedOn w:val="Normal"/>
    <w:pPr>
      <w:tabs>
        <w:tab w:val="left" w:pos="1701"/>
        <w:tab w:val="right" w:pos="9639"/>
      </w:tabs>
    </w:pPr>
  </w:style>
  <w:style w:type="paragraph" w:styleId="Sidhuvud">
    <w:name w:val="header"/>
    <w:basedOn w:val="Normal"/>
    <w:pPr>
      <w:jc w:val="center"/>
    </w:pPr>
  </w:style>
  <w:style w:type="paragraph" w:customStyle="1" w:styleId="decimal">
    <w:name w:val="decimal"/>
    <w:basedOn w:val="Normal"/>
    <w:pPr>
      <w:tabs>
        <w:tab w:val="left" w:pos="567"/>
        <w:tab w:val="decimal" w:pos="1134"/>
        <w:tab w:val="left" w:pos="1701"/>
        <w:tab w:val="decimal" w:pos="2268"/>
        <w:tab w:val="left" w:pos="2835"/>
        <w:tab w:val="decimal" w:pos="3402"/>
        <w:tab w:val="left" w:pos="3969"/>
        <w:tab w:val="decimal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</w:pPr>
  </w:style>
  <w:style w:type="paragraph" w:customStyle="1" w:styleId="Appendix">
    <w:name w:val="Appendix"/>
    <w:basedOn w:val="Normal"/>
    <w:pPr>
      <w:tabs>
        <w:tab w:val="left" w:pos="540"/>
        <w:tab w:val="left" w:pos="1080"/>
        <w:tab w:val="left" w:pos="1710"/>
        <w:tab w:val="left" w:pos="2250"/>
      </w:tabs>
    </w:pPr>
    <w:rPr>
      <w:b/>
    </w:rPr>
  </w:style>
  <w:style w:type="paragraph" w:customStyle="1" w:styleId="Kommentarer1">
    <w:name w:val="Kommentarer1"/>
    <w:basedOn w:val="Normal"/>
  </w:style>
  <w:style w:type="paragraph" w:customStyle="1" w:styleId="Beskrivning1">
    <w:name w:val="Beskrivning1"/>
    <w:basedOn w:val="Normal"/>
    <w:next w:val="Normal"/>
    <w:pPr>
      <w:spacing w:before="120" w:after="120"/>
    </w:pPr>
    <w:rPr>
      <w:b/>
    </w:rPr>
  </w:style>
  <w:style w:type="paragraph" w:styleId="Innehll1">
    <w:name w:val="toc 1"/>
    <w:basedOn w:val="Normal"/>
    <w:next w:val="Normal"/>
    <w:semiHidden/>
    <w:pPr>
      <w:tabs>
        <w:tab w:val="right" w:pos="9027"/>
      </w:tabs>
      <w:jc w:val="left"/>
    </w:pPr>
    <w:rPr>
      <w:b/>
      <w:caps/>
    </w:rPr>
  </w:style>
  <w:style w:type="paragraph" w:styleId="Innehll2">
    <w:name w:val="toc 2"/>
    <w:basedOn w:val="Normal"/>
    <w:next w:val="Normal"/>
    <w:semiHidden/>
    <w:pPr>
      <w:tabs>
        <w:tab w:val="right" w:pos="9027"/>
      </w:tabs>
      <w:jc w:val="left"/>
    </w:pPr>
    <w:rPr>
      <w:b/>
    </w:rPr>
  </w:style>
  <w:style w:type="paragraph" w:styleId="Innehll3">
    <w:name w:val="toc 3"/>
    <w:basedOn w:val="Normal"/>
    <w:next w:val="Normal"/>
    <w:semiHidden/>
    <w:pPr>
      <w:tabs>
        <w:tab w:val="right" w:pos="9027"/>
      </w:tabs>
      <w:ind w:left="400"/>
      <w:jc w:val="left"/>
    </w:pPr>
    <w:rPr>
      <w:rFonts w:ascii="Times New Roman" w:hAnsi="Times New Roman"/>
    </w:rPr>
  </w:style>
  <w:style w:type="paragraph" w:styleId="Innehll4">
    <w:name w:val="toc 4"/>
    <w:basedOn w:val="Normal"/>
    <w:next w:val="Normal"/>
    <w:semiHidden/>
    <w:pPr>
      <w:tabs>
        <w:tab w:val="right" w:pos="9027"/>
      </w:tabs>
      <w:ind w:left="600"/>
      <w:jc w:val="left"/>
    </w:pPr>
    <w:rPr>
      <w:rFonts w:ascii="Times New Roman" w:hAnsi="Times New Roman"/>
    </w:rPr>
  </w:style>
  <w:style w:type="paragraph" w:styleId="Innehll5">
    <w:name w:val="toc 5"/>
    <w:basedOn w:val="Normal"/>
    <w:next w:val="Normal"/>
    <w:semiHidden/>
    <w:pPr>
      <w:tabs>
        <w:tab w:val="right" w:pos="9027"/>
      </w:tabs>
      <w:ind w:left="800"/>
      <w:jc w:val="left"/>
    </w:pPr>
    <w:rPr>
      <w:rFonts w:ascii="Times New Roman" w:hAnsi="Times New Roman"/>
    </w:rPr>
  </w:style>
  <w:style w:type="paragraph" w:styleId="Innehll6">
    <w:name w:val="toc 6"/>
    <w:basedOn w:val="Normal"/>
    <w:next w:val="Normal"/>
    <w:semiHidden/>
    <w:pPr>
      <w:tabs>
        <w:tab w:val="right" w:pos="9027"/>
      </w:tabs>
      <w:ind w:left="1000"/>
      <w:jc w:val="left"/>
    </w:pPr>
    <w:rPr>
      <w:rFonts w:ascii="Times New Roman" w:hAnsi="Times New Roman"/>
    </w:rPr>
  </w:style>
  <w:style w:type="paragraph" w:styleId="Innehll7">
    <w:name w:val="toc 7"/>
    <w:basedOn w:val="Normal"/>
    <w:next w:val="Normal"/>
    <w:semiHidden/>
    <w:pPr>
      <w:tabs>
        <w:tab w:val="right" w:pos="9027"/>
      </w:tabs>
      <w:ind w:left="1200"/>
      <w:jc w:val="left"/>
    </w:pPr>
    <w:rPr>
      <w:rFonts w:ascii="Times New Roman" w:hAnsi="Times New Roman"/>
    </w:rPr>
  </w:style>
  <w:style w:type="paragraph" w:styleId="Innehll8">
    <w:name w:val="toc 8"/>
    <w:basedOn w:val="Normal"/>
    <w:next w:val="Normal"/>
    <w:semiHidden/>
    <w:pPr>
      <w:tabs>
        <w:tab w:val="right" w:pos="9027"/>
      </w:tabs>
      <w:ind w:left="1400"/>
      <w:jc w:val="left"/>
    </w:pPr>
    <w:rPr>
      <w:rFonts w:ascii="Times New Roman" w:hAnsi="Times New Roman"/>
    </w:rPr>
  </w:style>
  <w:style w:type="paragraph" w:styleId="Innehll9">
    <w:name w:val="toc 9"/>
    <w:basedOn w:val="Normal"/>
    <w:next w:val="Normal"/>
    <w:semiHidden/>
    <w:pPr>
      <w:tabs>
        <w:tab w:val="right" w:pos="9027"/>
      </w:tabs>
      <w:ind w:left="1600"/>
      <w:jc w:val="left"/>
    </w:pPr>
    <w:rPr>
      <w:rFonts w:ascii="Times New Roman" w:hAnsi="Times New Roman"/>
    </w:rPr>
  </w:style>
  <w:style w:type="paragraph" w:styleId="Index1">
    <w:name w:val="index 1"/>
    <w:basedOn w:val="Normal"/>
    <w:next w:val="Normal"/>
    <w:semiHidden/>
    <w:pPr>
      <w:tabs>
        <w:tab w:val="right" w:pos="4153"/>
      </w:tabs>
      <w:ind w:left="200" w:hanging="200"/>
      <w:jc w:val="left"/>
    </w:pPr>
    <w:rPr>
      <w:rFonts w:ascii="Times New Roman" w:hAnsi="Times New Roman"/>
      <w:sz w:val="18"/>
    </w:rPr>
  </w:style>
  <w:style w:type="paragraph" w:styleId="Index2">
    <w:name w:val="index 2"/>
    <w:basedOn w:val="Normal"/>
    <w:next w:val="Normal"/>
    <w:semiHidden/>
    <w:pPr>
      <w:tabs>
        <w:tab w:val="right" w:pos="4153"/>
      </w:tabs>
      <w:ind w:left="400" w:hanging="200"/>
      <w:jc w:val="left"/>
    </w:pPr>
    <w:rPr>
      <w:rFonts w:ascii="Times New Roman" w:hAnsi="Times New Roman"/>
      <w:sz w:val="18"/>
    </w:rPr>
  </w:style>
  <w:style w:type="paragraph" w:styleId="Index3">
    <w:name w:val="index 3"/>
    <w:basedOn w:val="Normal"/>
    <w:next w:val="Normal"/>
    <w:semiHidden/>
    <w:pPr>
      <w:tabs>
        <w:tab w:val="right" w:pos="4153"/>
      </w:tabs>
      <w:ind w:left="600" w:hanging="200"/>
      <w:jc w:val="left"/>
    </w:pPr>
    <w:rPr>
      <w:rFonts w:ascii="Times New Roman" w:hAnsi="Times New Roman"/>
      <w:sz w:val="18"/>
    </w:rPr>
  </w:style>
  <w:style w:type="paragraph" w:customStyle="1" w:styleId="Index41">
    <w:name w:val="Index 41"/>
    <w:basedOn w:val="Normal"/>
    <w:next w:val="Normal"/>
    <w:pPr>
      <w:tabs>
        <w:tab w:val="right" w:pos="4153"/>
      </w:tabs>
      <w:ind w:left="800" w:hanging="200"/>
      <w:jc w:val="left"/>
    </w:pPr>
    <w:rPr>
      <w:rFonts w:ascii="Times New Roman" w:hAnsi="Times New Roman"/>
      <w:sz w:val="18"/>
    </w:rPr>
  </w:style>
  <w:style w:type="paragraph" w:customStyle="1" w:styleId="Index51">
    <w:name w:val="Index 51"/>
    <w:basedOn w:val="Normal"/>
    <w:next w:val="Normal"/>
    <w:pPr>
      <w:tabs>
        <w:tab w:val="right" w:pos="4153"/>
      </w:tabs>
      <w:ind w:left="1000" w:hanging="200"/>
      <w:jc w:val="left"/>
    </w:pPr>
    <w:rPr>
      <w:rFonts w:ascii="Times New Roman" w:hAnsi="Times New Roman"/>
      <w:sz w:val="18"/>
    </w:rPr>
  </w:style>
  <w:style w:type="paragraph" w:customStyle="1" w:styleId="Index61">
    <w:name w:val="Index 61"/>
    <w:basedOn w:val="Normal"/>
    <w:next w:val="Normal"/>
    <w:pPr>
      <w:tabs>
        <w:tab w:val="right" w:pos="4153"/>
      </w:tabs>
      <w:ind w:left="1200" w:hanging="200"/>
      <w:jc w:val="left"/>
    </w:pPr>
    <w:rPr>
      <w:rFonts w:ascii="Times New Roman" w:hAnsi="Times New Roman"/>
      <w:sz w:val="18"/>
    </w:rPr>
  </w:style>
  <w:style w:type="paragraph" w:customStyle="1" w:styleId="Index71">
    <w:name w:val="Index 71"/>
    <w:basedOn w:val="Normal"/>
    <w:next w:val="Normal"/>
    <w:pPr>
      <w:tabs>
        <w:tab w:val="right" w:pos="4153"/>
      </w:tabs>
      <w:ind w:left="1400" w:hanging="200"/>
      <w:jc w:val="left"/>
    </w:pPr>
    <w:rPr>
      <w:rFonts w:ascii="Times New Roman" w:hAnsi="Times New Roman"/>
      <w:sz w:val="18"/>
    </w:rPr>
  </w:style>
  <w:style w:type="paragraph" w:customStyle="1" w:styleId="Index81">
    <w:name w:val="Index 81"/>
    <w:basedOn w:val="Normal"/>
    <w:next w:val="Normal"/>
    <w:pPr>
      <w:tabs>
        <w:tab w:val="right" w:pos="4153"/>
      </w:tabs>
      <w:ind w:left="1600" w:hanging="200"/>
      <w:jc w:val="left"/>
    </w:pPr>
    <w:rPr>
      <w:rFonts w:ascii="Times New Roman" w:hAnsi="Times New Roman"/>
      <w:sz w:val="18"/>
    </w:rPr>
  </w:style>
  <w:style w:type="paragraph" w:customStyle="1" w:styleId="Index91">
    <w:name w:val="Index 91"/>
    <w:basedOn w:val="Normal"/>
    <w:next w:val="Normal"/>
    <w:pPr>
      <w:tabs>
        <w:tab w:val="right" w:pos="4153"/>
      </w:tabs>
      <w:ind w:left="1800" w:hanging="200"/>
      <w:jc w:val="left"/>
    </w:pPr>
    <w:rPr>
      <w:rFonts w:ascii="Times New Roman" w:hAnsi="Times New Roman"/>
      <w:sz w:val="18"/>
    </w:rPr>
  </w:style>
  <w:style w:type="paragraph" w:styleId="Indexrubrik">
    <w:name w:val="index heading"/>
    <w:basedOn w:val="Normal"/>
    <w:next w:val="Index1"/>
    <w:semiHidden/>
    <w:pPr>
      <w:spacing w:before="240" w:after="120"/>
      <w:ind w:left="140"/>
      <w:jc w:val="left"/>
    </w:pPr>
    <w:rPr>
      <w:b/>
      <w:sz w:val="28"/>
    </w:rPr>
  </w:style>
  <w:style w:type="paragraph" w:customStyle="1" w:styleId="Brdtext21">
    <w:name w:val="Brödtext 21"/>
    <w:basedOn w:val="Normal"/>
    <w:pPr>
      <w:tabs>
        <w:tab w:val="left" w:pos="567"/>
      </w:tabs>
      <w:spacing w:line="240" w:lineRule="atLeast"/>
      <w:ind w:left="567" w:hanging="567"/>
    </w:pPr>
    <w:rPr>
      <w:color w:val="000000"/>
    </w:rPr>
  </w:style>
  <w:style w:type="paragraph" w:customStyle="1" w:styleId="Brdtextmedindrag21">
    <w:name w:val="Brödtext med indrag 21"/>
    <w:basedOn w:val="Normal"/>
    <w:pPr>
      <w:tabs>
        <w:tab w:val="left" w:pos="567"/>
      </w:tabs>
      <w:spacing w:line="240" w:lineRule="atLeast"/>
      <w:ind w:left="2977" w:hanging="2977"/>
      <w:jc w:val="left"/>
    </w:pPr>
    <w:rPr>
      <w:color w:val="000000"/>
    </w:rPr>
  </w:style>
  <w:style w:type="paragraph" w:customStyle="1" w:styleId="WW-Brdtext2">
    <w:name w:val="WW-Brödtext 2"/>
    <w:basedOn w:val="Normal"/>
    <w:pPr>
      <w:tabs>
        <w:tab w:val="left" w:pos="567"/>
      </w:tabs>
      <w:spacing w:line="240" w:lineRule="atLeast"/>
    </w:pPr>
    <w:rPr>
      <w:color w:val="000000"/>
    </w:rPr>
  </w:style>
  <w:style w:type="paragraph" w:customStyle="1" w:styleId="Brdtext31">
    <w:name w:val="Brödtext 31"/>
    <w:basedOn w:val="Normal"/>
    <w:pPr>
      <w:tabs>
        <w:tab w:val="left" w:pos="567"/>
      </w:tabs>
      <w:spacing w:line="240" w:lineRule="atLeast"/>
      <w:jc w:val="left"/>
    </w:pPr>
    <w:rPr>
      <w:b/>
      <w:color w:val="000000"/>
    </w:rPr>
  </w:style>
  <w:style w:type="paragraph" w:customStyle="1" w:styleId="Lista21">
    <w:name w:val="Lista 21"/>
    <w:basedOn w:val="Normal"/>
    <w:pPr>
      <w:ind w:left="720" w:hanging="360"/>
    </w:pPr>
  </w:style>
  <w:style w:type="paragraph" w:customStyle="1" w:styleId="Meddelanderubrik1">
    <w:name w:val="Meddelanderubrik1"/>
    <w:basedOn w:val="Norma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080" w:hanging="1080"/>
    </w:pPr>
  </w:style>
  <w:style w:type="paragraph" w:customStyle="1" w:styleId="Punktlista21">
    <w:name w:val="Punktlista 21"/>
    <w:basedOn w:val="Normal"/>
  </w:style>
  <w:style w:type="paragraph" w:customStyle="1" w:styleId="Listafortstt1">
    <w:name w:val="Lista fortsätt1"/>
    <w:basedOn w:val="Normal"/>
    <w:pPr>
      <w:spacing w:after="120"/>
      <w:ind w:left="360"/>
    </w:pPr>
  </w:style>
  <w:style w:type="paragraph" w:styleId="Rubrik">
    <w:name w:val="Title"/>
    <w:basedOn w:val="Normal"/>
    <w:next w:val="Underrubrik"/>
    <w:qFormat/>
    <w:pPr>
      <w:spacing w:before="240" w:after="60"/>
      <w:jc w:val="center"/>
    </w:pPr>
    <w:rPr>
      <w:b/>
      <w:kern w:val="1"/>
      <w:sz w:val="32"/>
    </w:rPr>
  </w:style>
  <w:style w:type="paragraph" w:styleId="Underrubrik">
    <w:name w:val="Subtitle"/>
    <w:basedOn w:val="verskrift"/>
    <w:next w:val="Brdtext"/>
    <w:qFormat/>
    <w:pPr>
      <w:jc w:val="center"/>
    </w:pPr>
    <w:rPr>
      <w:i/>
      <w:iCs/>
    </w:rPr>
  </w:style>
  <w:style w:type="paragraph" w:customStyle="1" w:styleId="Brdtextmedindrag31">
    <w:name w:val="Brödtext med indrag 31"/>
    <w:basedOn w:val="Normal"/>
    <w:pPr>
      <w:tabs>
        <w:tab w:val="left" w:pos="639"/>
        <w:tab w:val="left" w:pos="1065"/>
      </w:tabs>
      <w:spacing w:line="240" w:lineRule="atLeast"/>
      <w:ind w:left="639" w:hanging="639"/>
      <w:jc w:val="left"/>
    </w:pPr>
    <w:rPr>
      <w:color w:val="000000"/>
    </w:rPr>
  </w:style>
  <w:style w:type="paragraph" w:customStyle="1" w:styleId="Tabellinnehll">
    <w:name w:val="Tabellinnehåll"/>
    <w:basedOn w:val="Normal"/>
    <w:pPr>
      <w:suppressLineNumbers/>
    </w:pPr>
  </w:style>
  <w:style w:type="paragraph" w:customStyle="1" w:styleId="Tabellverskrift">
    <w:name w:val="Tabellöverskrift"/>
    <w:basedOn w:val="Tabellinnehll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1033</Words>
  <Characters>5478</Characters>
  <Application>Microsoft Office Word</Application>
  <DocSecurity>0</DocSecurity>
  <Lines>45</Lines>
  <Paragraphs>12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Bedömning av risker och möjligheter vid inköp</vt:lpstr>
    </vt:vector>
  </TitlesOfParts>
  <Company/>
  <LinksUpToDate>false</LinksUpToDate>
  <CharactersWithSpaces>6499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Bedömning av risker och möjligheter vid inköp</dc:title>
  <dc:subject/>
  <dc:creator/>
  <cp:keywords/>
  <cp:lastModifiedBy/>
  <cp:revision>1</cp:revision>
  <cp:lastPrinted>1601-01-01T00:00:00Z</cp:lastPrinted>
  <dcterms:created xsi:type="dcterms:W3CDTF">2021-06-08T14:53:00Z</dcterms:created>
  <dcterms:modified xsi:type="dcterms:W3CDTF">2021-06-08T14:53:00Z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upp">
    <vt:bool>true</vt:bool>
  </property>
</Properties>
</file>