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2F" w:rsidRDefault="00B55A2F">
      <w:pPr>
        <w:tabs>
          <w:tab w:val="left" w:pos="567"/>
          <w:tab w:val="left" w:pos="4820"/>
        </w:tabs>
        <w:spacing w:line="240" w:lineRule="atLeast"/>
        <w:jc w:val="left"/>
        <w:rPr>
          <w:b/>
          <w:color w:val="000000"/>
          <w:lang w:val="sv-SE"/>
        </w:rPr>
      </w:pPr>
      <w:bookmarkStart w:id="0" w:name="_GoBack"/>
      <w:bookmarkEnd w:id="0"/>
      <w:r>
        <w:rPr>
          <w:b/>
          <w:color w:val="000000"/>
          <w:lang w:val="sv-SE"/>
        </w:rPr>
        <w:t>Geografiska och infrastrukturella faktorer</w:t>
      </w:r>
    </w:p>
    <w:p w:rsidR="00B55A2F" w:rsidRDefault="00B55A2F">
      <w:pPr>
        <w:tabs>
          <w:tab w:val="left" w:pos="567"/>
        </w:tabs>
        <w:spacing w:line="240" w:lineRule="atLeast"/>
        <w:jc w:val="left"/>
        <w:rPr>
          <w:color w:val="000000"/>
          <w:lang w:val="sv-SE"/>
        </w:rPr>
      </w:pP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677"/>
        <w:gridCol w:w="1590"/>
      </w:tblGrid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Risk eller möjlighet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Svar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Ansvarig</w:t>
            </w: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1065"/>
                <w:tab w:val="left" w:pos="1206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Platsförhållanden</w:t>
            </w:r>
          </w:p>
          <w:p w:rsidR="00B55A2F" w:rsidRDefault="00B55A2F">
            <w:pPr>
              <w:tabs>
                <w:tab w:val="left" w:pos="1065"/>
                <w:tab w:val="left" w:pos="1206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Extrema väderförhållanden</w:t>
            </w:r>
          </w:p>
          <w:p w:rsidR="00B55A2F" w:rsidRDefault="00B55A2F">
            <w:pPr>
              <w:tabs>
                <w:tab w:val="left" w:pos="1065"/>
                <w:tab w:val="left" w:pos="1206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Stark vind</w:t>
            </w:r>
          </w:p>
          <w:p w:rsidR="00B55A2F" w:rsidRDefault="00B55A2F">
            <w:pPr>
              <w:tabs>
                <w:tab w:val="left" w:pos="1065"/>
                <w:tab w:val="left" w:pos="1206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Regn, snö, dimma, översvämningar</w:t>
            </w:r>
          </w:p>
          <w:p w:rsidR="00B55A2F" w:rsidRDefault="00B55A2F">
            <w:pPr>
              <w:tabs>
                <w:tab w:val="left" w:pos="1065"/>
                <w:tab w:val="left" w:pos="1206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Ny fabriksplats eller montageplats</w:t>
            </w:r>
          </w:p>
          <w:p w:rsidR="00B55A2F" w:rsidRDefault="00B55A2F">
            <w:pPr>
              <w:tabs>
                <w:tab w:val="left" w:pos="1065"/>
                <w:tab w:val="left" w:pos="1206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Nivå över havet</w:t>
            </w:r>
          </w:p>
          <w:p w:rsidR="00B55A2F" w:rsidRDefault="00B55A2F">
            <w:pPr>
              <w:tabs>
                <w:tab w:val="left" w:pos="1065"/>
                <w:tab w:val="left" w:pos="1206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Topografi</w:t>
            </w:r>
          </w:p>
          <w:p w:rsidR="00B55A2F" w:rsidRDefault="00B55A2F">
            <w:pPr>
              <w:tabs>
                <w:tab w:val="left" w:pos="1065"/>
                <w:tab w:val="left" w:pos="1206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Markförhållanden</w:t>
            </w:r>
          </w:p>
          <w:p w:rsidR="00B55A2F" w:rsidRDefault="00B55A2F">
            <w:pPr>
              <w:tabs>
                <w:tab w:val="left" w:pos="1065"/>
                <w:tab w:val="left" w:pos="1206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Tillgänglig markyta</w:t>
            </w:r>
          </w:p>
          <w:p w:rsidR="00B55A2F" w:rsidRDefault="00B55A2F">
            <w:pPr>
              <w:tabs>
                <w:tab w:val="left" w:pos="1065"/>
                <w:tab w:val="left" w:pos="1206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Tillfartsvägar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Miljöskydd</w:t>
            </w:r>
          </w:p>
          <w:p w:rsidR="00B55A2F" w:rsidRDefault="00B55A2F">
            <w:pPr>
              <w:tabs>
                <w:tab w:val="left" w:pos="567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Föroreningar</w:t>
            </w:r>
          </w:p>
          <w:p w:rsidR="00B55A2F" w:rsidRDefault="00B55A2F">
            <w:pPr>
              <w:tabs>
                <w:tab w:val="left" w:pos="567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Luft</w:t>
            </w:r>
          </w:p>
          <w:p w:rsidR="00B55A2F" w:rsidRDefault="00B55A2F">
            <w:pPr>
              <w:tabs>
                <w:tab w:val="left" w:pos="567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 xml:space="preserve">                   Mark</w:t>
            </w:r>
          </w:p>
          <w:p w:rsidR="00B55A2F" w:rsidRDefault="00B55A2F">
            <w:pPr>
              <w:tabs>
                <w:tab w:val="left" w:pos="567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Vatten</w:t>
            </w:r>
            <w:r>
              <w:rPr>
                <w:color w:val="000000"/>
                <w:sz w:val="20"/>
                <w:lang w:val="sv-SE"/>
              </w:rPr>
              <w:tab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Infrastruktur</w:t>
            </w:r>
          </w:p>
          <w:p w:rsidR="00B55A2F" w:rsidRDefault="00B55A2F">
            <w:pPr>
              <w:tabs>
                <w:tab w:val="left" w:pos="567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Flyganslutningar</w:t>
            </w:r>
          </w:p>
          <w:p w:rsidR="00B55A2F" w:rsidRDefault="00B55A2F">
            <w:pPr>
              <w:tabs>
                <w:tab w:val="left" w:pos="567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Hamnmöjligheter</w:t>
            </w:r>
          </w:p>
          <w:p w:rsidR="00B55A2F" w:rsidRDefault="00B55A2F">
            <w:pPr>
              <w:tabs>
                <w:tab w:val="left" w:pos="567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Vägar, järnvägar</w:t>
            </w:r>
          </w:p>
          <w:p w:rsidR="00B55A2F" w:rsidRDefault="00B55A2F">
            <w:pPr>
              <w:tabs>
                <w:tab w:val="left" w:pos="567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Telekommunikationer</w:t>
            </w:r>
          </w:p>
          <w:p w:rsidR="00B55A2F" w:rsidRDefault="00B55A2F">
            <w:pPr>
              <w:tabs>
                <w:tab w:val="left" w:pos="567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Postsystem, kurirsystem</w:t>
            </w:r>
          </w:p>
          <w:p w:rsidR="00B55A2F" w:rsidRDefault="00B55A2F">
            <w:pPr>
              <w:tabs>
                <w:tab w:val="left" w:pos="567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El &amp; vatten</w:t>
            </w:r>
          </w:p>
          <w:p w:rsidR="00B55A2F" w:rsidRDefault="00B55A2F">
            <w:pPr>
              <w:tabs>
                <w:tab w:val="left" w:pos="567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Elektriska anslutningar</w:t>
            </w:r>
          </w:p>
          <w:p w:rsidR="00B55A2F" w:rsidRDefault="00B55A2F">
            <w:pPr>
              <w:tabs>
                <w:tab w:val="left" w:pos="567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Vattenanslutning</w:t>
            </w:r>
          </w:p>
          <w:p w:rsidR="00B55A2F" w:rsidRDefault="00B55A2F">
            <w:pPr>
              <w:tabs>
                <w:tab w:val="left" w:pos="567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Avloppsanslutning</w:t>
            </w:r>
          </w:p>
          <w:p w:rsidR="00B55A2F" w:rsidRDefault="00B55A2F">
            <w:pPr>
              <w:tabs>
                <w:tab w:val="left" w:pos="567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Hälsovård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Säkerhetsregler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</w:tbl>
    <w:p w:rsidR="00B55A2F" w:rsidRDefault="00B55A2F">
      <w:pPr>
        <w:tabs>
          <w:tab w:val="left" w:pos="567"/>
        </w:tabs>
        <w:spacing w:line="240" w:lineRule="atLeast"/>
        <w:jc w:val="left"/>
      </w:pPr>
    </w:p>
    <w:p w:rsidR="00B55A2F" w:rsidRDefault="00B55A2F">
      <w:pPr>
        <w:pageBreakBefore/>
        <w:tabs>
          <w:tab w:val="left" w:pos="567"/>
        </w:tabs>
        <w:spacing w:line="240" w:lineRule="atLeast"/>
        <w:jc w:val="left"/>
        <w:rPr>
          <w:b/>
          <w:color w:val="000000"/>
          <w:lang w:val="sv-SE"/>
        </w:rPr>
      </w:pPr>
      <w:r>
        <w:rPr>
          <w:b/>
          <w:color w:val="000000"/>
          <w:lang w:val="sv-SE"/>
        </w:rPr>
        <w:lastRenderedPageBreak/>
        <w:t>Geosociala faktorer</w:t>
      </w:r>
    </w:p>
    <w:p w:rsidR="00B55A2F" w:rsidRDefault="00B55A2F">
      <w:pPr>
        <w:tabs>
          <w:tab w:val="left" w:pos="567"/>
        </w:tabs>
        <w:spacing w:line="240" w:lineRule="atLeast"/>
        <w:jc w:val="left"/>
        <w:rPr>
          <w:color w:val="000000"/>
          <w:lang w:val="sv-SE"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677"/>
        <w:gridCol w:w="1590"/>
      </w:tblGrid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Risk eller möjlighet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Svar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Ansvarig</w:t>
            </w: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Kulturella faktorer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Faktorer i tillverknings- eller utförandelandet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proofErr w:type="gramStart"/>
            <w:r>
              <w:rPr>
                <w:color w:val="000000"/>
                <w:sz w:val="20"/>
                <w:lang w:val="sv-SE"/>
              </w:rPr>
              <w:t>Arbetskraftsoroligheter  (strejker</w:t>
            </w:r>
            <w:proofErr w:type="gramEnd"/>
            <w:r>
              <w:rPr>
                <w:color w:val="000000"/>
                <w:sz w:val="20"/>
                <w:lang w:val="sv-SE"/>
              </w:rPr>
              <w:t>, maskning)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Exportrestriktioner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Embargon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Hälsa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Smittspridningar i området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 xml:space="preserve">Brott 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Våld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Upplopp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Sabotage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Stölder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Svindlerier</w:t>
            </w:r>
            <w:r>
              <w:rPr>
                <w:color w:val="000000"/>
                <w:sz w:val="20"/>
                <w:lang w:val="sv-SE"/>
              </w:rPr>
              <w:tab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Politiska faktorer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Politiskt system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Politisk stabilitet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Krav på lokal tillverkning eller lokala köp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 xml:space="preserve">Krav på lokalt ägande eller lokalt joint venture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Legalt system, legal praxis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Arbetsmarknadslagar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Arbetskraftsoroligheter (strejk, maskning)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Licenser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Polisstyrka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Tillståndsgivning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Krav på lokala försäkringar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Byråkratiska eller oförutsägbara skatter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Tullar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Tullklassifikation, tulltariffer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Importrestriktioner, byråkrati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Konflikter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Etniska eller religiösa konflikter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 xml:space="preserve">Militära </w:t>
            </w:r>
            <w:proofErr w:type="gramStart"/>
            <w:r>
              <w:rPr>
                <w:color w:val="000000"/>
                <w:sz w:val="20"/>
                <w:lang w:val="sv-SE"/>
              </w:rPr>
              <w:t>ingrepp / krig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Språk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</w:tbl>
    <w:p w:rsidR="00B55A2F" w:rsidRDefault="00B55A2F">
      <w:pPr>
        <w:pageBreakBefore/>
        <w:tabs>
          <w:tab w:val="left" w:pos="567"/>
        </w:tabs>
        <w:spacing w:line="240" w:lineRule="atLeast"/>
        <w:jc w:val="left"/>
        <w:rPr>
          <w:b/>
          <w:color w:val="000000"/>
          <w:lang w:val="sv-SE"/>
        </w:rPr>
      </w:pPr>
      <w:r>
        <w:rPr>
          <w:b/>
          <w:color w:val="000000"/>
          <w:lang w:val="sv-SE"/>
        </w:rPr>
        <w:lastRenderedPageBreak/>
        <w:t>Geoekonomiska faktorer</w:t>
      </w:r>
    </w:p>
    <w:p w:rsidR="00B55A2F" w:rsidRDefault="00B55A2F">
      <w:pPr>
        <w:tabs>
          <w:tab w:val="left" w:pos="567"/>
        </w:tabs>
        <w:spacing w:line="240" w:lineRule="atLeast"/>
        <w:jc w:val="left"/>
        <w:rPr>
          <w:color w:val="000000"/>
          <w:lang w:val="sv-SE"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677"/>
        <w:gridCol w:w="1590"/>
      </w:tblGrid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Risk eller möjlighet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Svar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Ansvarig</w:t>
            </w: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Särskilda faktorer I tillverkningslandet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Skatter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Myndighetsinterventioner</w:t>
            </w:r>
            <w:r>
              <w:rPr>
                <w:color w:val="000000"/>
                <w:sz w:val="20"/>
                <w:lang w:val="sv-SE"/>
              </w:rPr>
              <w:tab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 xml:space="preserve">Finansiell stabilitet 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Banksystem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Inflation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Räntenivå, räntevariationer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Valutakurs, valutakursvariationer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Penningtransferabilitet</w:t>
            </w:r>
            <w:r>
              <w:rPr>
                <w:color w:val="000000"/>
                <w:sz w:val="20"/>
                <w:lang w:val="sv-SE"/>
              </w:rPr>
              <w:tab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Leverantörens finansiella stabilitet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Betalningsstörningar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Konkursrisk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Löner, löneförändringar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Skatter, skatteförändringar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</w:tbl>
    <w:p w:rsidR="00B55A2F" w:rsidRDefault="00B55A2F">
      <w:pPr>
        <w:tabs>
          <w:tab w:val="left" w:pos="567"/>
        </w:tabs>
        <w:spacing w:line="240" w:lineRule="atLeast"/>
        <w:jc w:val="left"/>
      </w:pPr>
    </w:p>
    <w:p w:rsidR="00B55A2F" w:rsidRDefault="00B55A2F">
      <w:pPr>
        <w:pageBreakBefore/>
        <w:tabs>
          <w:tab w:val="left" w:pos="567"/>
        </w:tabs>
        <w:spacing w:line="240" w:lineRule="atLeast"/>
        <w:jc w:val="left"/>
        <w:rPr>
          <w:b/>
          <w:color w:val="000000"/>
          <w:lang w:val="sv-SE"/>
        </w:rPr>
      </w:pPr>
      <w:r>
        <w:rPr>
          <w:b/>
          <w:color w:val="000000"/>
          <w:lang w:val="sv-SE"/>
        </w:rPr>
        <w:lastRenderedPageBreak/>
        <w:t>Teknologi</w:t>
      </w:r>
    </w:p>
    <w:p w:rsidR="00B55A2F" w:rsidRDefault="00B55A2F">
      <w:pPr>
        <w:tabs>
          <w:tab w:val="left" w:pos="567"/>
        </w:tabs>
        <w:spacing w:line="240" w:lineRule="atLeast"/>
        <w:jc w:val="left"/>
        <w:rPr>
          <w:color w:val="000000"/>
          <w:lang w:val="sv-SE"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677"/>
        <w:gridCol w:w="1590"/>
      </w:tblGrid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Risk eller möjlighet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Svar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Ansvarig</w:t>
            </w: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Särskilda kontraktskrav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 xml:space="preserve">Elektromagnetisk </w:t>
            </w:r>
            <w:proofErr w:type="gramStart"/>
            <w:r>
              <w:rPr>
                <w:color w:val="000000"/>
                <w:sz w:val="20"/>
                <w:lang w:val="sv-SE"/>
              </w:rPr>
              <w:t>påverkan / störning</w:t>
            </w:r>
            <w:proofErr w:type="gramEnd"/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Markförhållanden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Utsläpp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Buller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Korrosion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Underhållbarhet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Standards/norms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Dokumentation och ritningar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Reservdelar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Säkerhetsåtgärder (brand, explosion, utsläpp, jordbävning)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Kvalitet: Verifiering, validering, kontroll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 xml:space="preserve">Tekniköverföring 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Definierad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Särskilt avtal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Teknisk specifikation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Vag beskrivning, osäker leveransomfattning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Orealistiska eller kostsamma lösningar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Lösningar eller teknologi utvecklad av leverantören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Leverantörens prestandaåtaganden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Tillförlitlighet eller tillgänglighet (nivå, definition, kalkylering, mätmetod)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Livstid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Livstidskostnader (LCC)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Leveransförsening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Produktionskapacitet eller motsvarande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Definition av testdata, testkörning etc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34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Tekniska gränssnitt eller leveransgränser</w:t>
            </w:r>
          </w:p>
          <w:p w:rsidR="00B55A2F" w:rsidRDefault="00B55A2F">
            <w:pPr>
              <w:tabs>
                <w:tab w:val="left" w:pos="498"/>
                <w:tab w:val="left" w:pos="134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Existerande utrustning</w:t>
            </w:r>
          </w:p>
          <w:p w:rsidR="00B55A2F" w:rsidRDefault="00B55A2F">
            <w:pPr>
              <w:tabs>
                <w:tab w:val="left" w:pos="498"/>
                <w:tab w:val="left" w:pos="134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Utrustning tillhörande sidoleverantörer eller partners</w:t>
            </w:r>
          </w:p>
          <w:p w:rsidR="00B55A2F" w:rsidRDefault="00B55A2F">
            <w:pPr>
              <w:tabs>
                <w:tab w:val="left" w:pos="498"/>
                <w:tab w:val="left" w:pos="134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 xml:space="preserve">Ansvar för prestanda eller kvalitet i slutprodukten </w:t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Ny eller beprövad teknologi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Väsentliga innovationer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Första leverans av detta slag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Involvering av ny teknologi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Avancerad eller komplex mjukvara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Nya material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lastRenderedPageBreak/>
              <w:tab/>
              <w:t>Ny teknologi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Nytt användningsområde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Teknisk uppgradering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Omfattning överstiger tidigare leveransomfattningar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Känslig utrustning eller komponenter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</w:tbl>
    <w:p w:rsidR="00B55A2F" w:rsidRDefault="00B55A2F">
      <w:pPr>
        <w:pageBreakBefore/>
        <w:tabs>
          <w:tab w:val="left" w:pos="567"/>
        </w:tabs>
        <w:spacing w:line="240" w:lineRule="atLeast"/>
        <w:jc w:val="left"/>
        <w:rPr>
          <w:b/>
          <w:color w:val="000000"/>
          <w:lang w:val="sv-SE"/>
        </w:rPr>
      </w:pPr>
      <w:r>
        <w:rPr>
          <w:b/>
          <w:color w:val="000000"/>
          <w:lang w:val="sv-SE"/>
        </w:rPr>
        <w:lastRenderedPageBreak/>
        <w:t>Vår beställarorganisation</w:t>
      </w:r>
    </w:p>
    <w:p w:rsidR="00B55A2F" w:rsidRDefault="00B55A2F">
      <w:pPr>
        <w:tabs>
          <w:tab w:val="left" w:pos="567"/>
        </w:tabs>
        <w:spacing w:line="240" w:lineRule="atLeast"/>
        <w:jc w:val="left"/>
        <w:rPr>
          <w:color w:val="000000"/>
          <w:lang w:val="sv-SE"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677"/>
        <w:gridCol w:w="1590"/>
      </w:tblGrid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Risk eller möjlighet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Svar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Ansvarig</w:t>
            </w: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Organisation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Struktur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Temporär organisation, konsortium etc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Separata organisationer för tekniska och kommersiella frågor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Beslutskedja</w:t>
            </w:r>
            <w:r>
              <w:rPr>
                <w:color w:val="000000"/>
                <w:sz w:val="20"/>
                <w:lang w:val="sv-SE"/>
              </w:rPr>
              <w:tab/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Godkännande och beslutsprocedurer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Delegering av befogenheter</w:t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ind w:left="498" w:hanging="498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Kulturellt beteende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Byråkrati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Beslutsprocess, beslutsfaktorer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Affärsetik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Attityd till arbete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Ansvarstagande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proofErr w:type="gramStart"/>
            <w:r>
              <w:rPr>
                <w:color w:val="000000"/>
                <w:sz w:val="20"/>
                <w:lang w:val="sv-SE"/>
              </w:rPr>
              <w:t>Attityder mot 'expats'</w:t>
            </w:r>
            <w:proofErr w:type="gramEnd"/>
          </w:p>
          <w:p w:rsidR="00B55A2F" w:rsidRDefault="00B55A2F">
            <w:pPr>
              <w:tabs>
                <w:tab w:val="left" w:pos="498"/>
              </w:tabs>
              <w:ind w:left="498" w:hanging="498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Miljömedvetenhet</w:t>
            </w:r>
          </w:p>
          <w:p w:rsidR="00B55A2F" w:rsidRDefault="00B55A2F">
            <w:pPr>
              <w:tabs>
                <w:tab w:val="left" w:pos="498"/>
              </w:tabs>
              <w:ind w:left="498" w:hanging="498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Kontraktshantering</w:t>
            </w:r>
          </w:p>
          <w:p w:rsidR="00B55A2F" w:rsidRDefault="00B55A2F">
            <w:pPr>
              <w:tabs>
                <w:tab w:val="left" w:pos="498"/>
              </w:tabs>
              <w:ind w:left="498" w:hanging="498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Förändringsvilja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Resurser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Nödvändig kompetens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Projektadministration (Projektledare, kvalitetssäkring)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Tekniska discipliner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Beroende av specialister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Stridsvilja (interna projekt)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 xml:space="preserve">Realistiska mål 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Accepterade mål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Accepterade roller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Motivation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</w:tbl>
    <w:p w:rsidR="00B55A2F" w:rsidRDefault="00B55A2F">
      <w:pPr>
        <w:pageBreakBefore/>
        <w:tabs>
          <w:tab w:val="left" w:pos="567"/>
        </w:tabs>
        <w:spacing w:line="240" w:lineRule="atLeast"/>
        <w:jc w:val="left"/>
        <w:rPr>
          <w:b/>
          <w:color w:val="000000"/>
          <w:lang w:val="sv-SE"/>
        </w:rPr>
      </w:pPr>
      <w:r>
        <w:rPr>
          <w:b/>
          <w:color w:val="000000"/>
          <w:lang w:val="sv-SE"/>
        </w:rPr>
        <w:lastRenderedPageBreak/>
        <w:t>Leveransekonomi, kontraktsekonomi</w:t>
      </w:r>
    </w:p>
    <w:p w:rsidR="00B55A2F" w:rsidRDefault="00B55A2F">
      <w:pPr>
        <w:tabs>
          <w:tab w:val="left" w:pos="567"/>
        </w:tabs>
        <w:spacing w:line="240" w:lineRule="atLeast"/>
        <w:jc w:val="left"/>
        <w:rPr>
          <w:color w:val="000000"/>
          <w:lang w:val="sv-SE"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677"/>
        <w:gridCol w:w="1590"/>
      </w:tblGrid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Risk eller möjlighet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Svar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Ansvarig</w:t>
            </w: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Avtalsvillkor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Kontraktstyp (klumpköp, generiskt köp, hyra osv)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Tillämplig lag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Kontraktsspråk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Tvistelösning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Force Majeure klausul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Hävning, fördröjning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Procedur för partskommunikation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Leveransviten</w:t>
            </w:r>
          </w:p>
          <w:p w:rsidR="00B55A2F" w:rsidRDefault="00B55A2F">
            <w:pPr>
              <w:tabs>
                <w:tab w:val="left" w:pos="498"/>
                <w:tab w:val="left" w:pos="639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Skadestånd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 xml:space="preserve">Oklarheter 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Balans mellan parterna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Leveransomfattning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Funktionsåtaganden (</w:t>
            </w:r>
            <w:proofErr w:type="gramStart"/>
            <w:r>
              <w:rPr>
                <w:color w:val="000000"/>
                <w:sz w:val="20"/>
                <w:lang w:val="sv-SE"/>
              </w:rPr>
              <w:t>dvs</w:t>
            </w:r>
            <w:proofErr w:type="gramEnd"/>
            <w:r>
              <w:rPr>
                <w:color w:val="000000"/>
                <w:sz w:val="20"/>
                <w:lang w:val="sv-SE"/>
              </w:rPr>
              <w:t xml:space="preserve"> ej detaljlösningar)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Ny teknologi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Specifikationens tydlighet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Verifiering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Validering, godkännande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proofErr w:type="gramStart"/>
            <w:r>
              <w:rPr>
                <w:color w:val="000000"/>
                <w:sz w:val="20"/>
                <w:lang w:val="sv-SE"/>
              </w:rPr>
              <w:t>Montageuppdrag</w:t>
            </w:r>
            <w:proofErr w:type="gramEnd"/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Förberedelse av montageplats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Övervakning, tillsyn, kontroll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Reservdelar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Leverans av testmaterial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Service och underhåll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Krav på lokala köp/arbetskraft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Transporter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Packnings instruktioner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Leveransvillkor</w:t>
            </w:r>
            <w:r>
              <w:rPr>
                <w:color w:val="000000"/>
                <w:sz w:val="20"/>
                <w:lang w:val="sv-SE"/>
              </w:rPr>
              <w:tab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Kontraktets ikraftträdande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Villkorade förutsättningar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Tidsgränser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Tidplan och leveranstid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Tiden såsom mätetal, användning och definition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Krav för start av leveranstid</w:t>
            </w:r>
          </w:p>
          <w:p w:rsidR="00B55A2F" w:rsidRDefault="00B55A2F">
            <w:pPr>
              <w:pStyle w:val="Brdtextmedindrag31"/>
              <w:tabs>
                <w:tab w:val="clear" w:pos="639"/>
                <w:tab w:val="left" w:pos="498"/>
              </w:tabs>
              <w:ind w:left="498" w:hanging="498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ab/>
              <w:t>Krav för innehållen färdigställandetid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Definition av våra skyldigheter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Tillstånd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lastRenderedPageBreak/>
              <w:tab/>
            </w:r>
            <w:r>
              <w:rPr>
                <w:color w:val="000000"/>
                <w:sz w:val="20"/>
                <w:lang w:val="sv-SE"/>
              </w:rPr>
              <w:tab/>
              <w:t>Tillhandahållande av designdata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Granskning och godkännande av dokument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Kompensation och/eller förlängning vid vår försening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Konsekvenser/ansvar vid försening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Flexibilitet i tidsplanen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Godkännande kriterium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Kriterium för färdigställande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Kriterium för verifiering och validering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Kriterium för preskription av ansvar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Betalningsflöden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Betalningsvillkor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Betalningsvaluta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Verkställande av betalningar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Specifikation av villkor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Säker betalning (L/C, warehouse certificate, EKN, etc)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Kontroll av betalningsdokument (ex faktura)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Betalningsprocedur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Betalningsförsening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Kompensation för försening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Konsekvens av väsentlig försening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Hävningsrätt, rätt till leveransvägran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Betalningstidpunkter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Projektförseningars inverkan på betalningstidsplanen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Kassaflöden (egna och främmande valutor)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Betalningsrisker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Valutakursvariationer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Prisindexeringar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Tull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Import/export restriktioner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 xml:space="preserve">Procedurer för licenser och importtillstånd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Lokal beskattning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Undvikande (vad krävs)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Procedurer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Skattetaxor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Kan förändringar förväntas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Försäkringar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Ändrings- och tilläggsarbeten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Begränsningar, restriktioner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Klausuler för beräkning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Säkerheter och ansvarsförbindelser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lastRenderedPageBreak/>
              <w:tab/>
              <w:t>Säkerheter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Tidsgränser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Ikraftträdande för avtalet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Anbudsgarantier (Bid bond)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Förskottsgarantier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Fullgörandegarantier (reduktionsbestämmelser)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Retentionsbetalning eller garanti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Reduktion i förhållande till prestation</w:t>
            </w:r>
            <w:r>
              <w:rPr>
                <w:color w:val="000000"/>
                <w:sz w:val="20"/>
                <w:lang w:val="sv-SE"/>
              </w:rPr>
              <w:tab/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Design/material</w:t>
            </w:r>
          </w:p>
          <w:p w:rsidR="00B55A2F" w:rsidRDefault="00B55A2F">
            <w:pPr>
              <w:tabs>
                <w:tab w:val="left" w:pos="567"/>
              </w:tabs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Dolda fel</w:t>
            </w:r>
            <w:r>
              <w:rPr>
                <w:color w:val="000000"/>
                <w:sz w:val="20"/>
                <w:lang w:val="sv-SE"/>
              </w:rPr>
              <w:tab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</w:tbl>
    <w:p w:rsidR="00B55A2F" w:rsidRDefault="00B55A2F">
      <w:pPr>
        <w:tabs>
          <w:tab w:val="left" w:pos="567"/>
        </w:tabs>
        <w:spacing w:line="240" w:lineRule="atLeast"/>
        <w:jc w:val="left"/>
      </w:pPr>
    </w:p>
    <w:p w:rsidR="00B55A2F" w:rsidRDefault="00B55A2F">
      <w:pPr>
        <w:tabs>
          <w:tab w:val="left" w:pos="567"/>
        </w:tabs>
        <w:spacing w:line="240" w:lineRule="atLeast"/>
        <w:jc w:val="left"/>
        <w:rPr>
          <w:lang w:val="sv-SE"/>
        </w:rPr>
      </w:pPr>
      <w:r>
        <w:rPr>
          <w:lang w:val="sv-SE"/>
        </w:rPr>
        <w:t xml:space="preserve"> </w:t>
      </w:r>
    </w:p>
    <w:p w:rsidR="00B55A2F" w:rsidRDefault="00B55A2F">
      <w:pPr>
        <w:tabs>
          <w:tab w:val="left" w:pos="567"/>
        </w:tabs>
        <w:spacing w:line="240" w:lineRule="atLeast"/>
        <w:jc w:val="left"/>
        <w:rPr>
          <w:lang w:val="sv-SE"/>
        </w:rPr>
      </w:pPr>
    </w:p>
    <w:p w:rsidR="00B55A2F" w:rsidRDefault="00B55A2F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528"/>
        <w:gridCol w:w="640"/>
        <w:gridCol w:w="2880"/>
        <w:gridCol w:w="1492"/>
        <w:gridCol w:w="1618"/>
      </w:tblGrid>
      <w:tr w:rsidR="00B55A2F">
        <w:trPr>
          <w:cantSplit/>
          <w:trHeight w:hRule="exact" w:val="255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5A2F" w:rsidRDefault="00143388">
            <w:pPr>
              <w:snapToGrid w:val="0"/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noProof/>
                <w:sz w:val="20"/>
                <w:lang w:val="sv-SE" w:eastAsia="sv-SE"/>
              </w:rPr>
              <w:drawing>
                <wp:inline distT="0" distB="0" distL="0" distR="0">
                  <wp:extent cx="1187450" cy="412750"/>
                  <wp:effectExtent l="0" t="0" r="0" b="635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412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gridSpan w:val="3"/>
            <w:tcBorders>
              <w:top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Sida (Sidantal)</w:t>
            </w:r>
          </w:p>
        </w:tc>
      </w:tr>
      <w:tr w:rsidR="00B55A2F">
        <w:trPr>
          <w:cantSplit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5A2F" w:rsidRDefault="00B55A2F"/>
        </w:tc>
        <w:tc>
          <w:tcPr>
            <w:tcW w:w="5012" w:type="dxa"/>
            <w:gridSpan w:val="3"/>
            <w:tcBorders>
              <w:bottom w:val="single" w:sz="4" w:space="0" w:color="000000"/>
            </w:tcBorders>
            <w:vAlign w:val="bottom"/>
          </w:tcPr>
          <w:p w:rsidR="00B55A2F" w:rsidRPr="00B55A2F" w:rsidRDefault="00B55A2F">
            <w:pPr>
              <w:snapToGrid w:val="0"/>
              <w:spacing w:before="60"/>
              <w:rPr>
                <w:rFonts w:cs="Arial"/>
                <w:sz w:val="20"/>
                <w:lang w:val="sv-SE"/>
              </w:rPr>
            </w:pPr>
            <w:r w:rsidRPr="00B55A2F">
              <w:rPr>
                <w:rFonts w:cs="Arial"/>
                <w:sz w:val="20"/>
                <w:lang w:val="sv-SE"/>
              </w:rPr>
              <w:t>Checklista riskbedömning vid inköp eller upphandling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(9)</w:t>
            </w:r>
          </w:p>
        </w:tc>
      </w:tr>
      <w:tr w:rsidR="00B55A2F">
        <w:trPr>
          <w:trHeight w:val="1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Dokumentnummer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Utgåva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Dokumentdatum</w:t>
            </w:r>
          </w:p>
        </w:tc>
      </w:tr>
      <w:tr w:rsidR="00B55A2F">
        <w:trPr>
          <w:trHeight w:val="227"/>
        </w:trPr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1001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2009-05-06</w:t>
            </w:r>
          </w:p>
        </w:tc>
      </w:tr>
      <w:tr w:rsidR="00B55A2F">
        <w:trPr>
          <w:trHeight w:val="1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Dokumenttyp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Granskningsstatus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Utfärdare, granskare</w:t>
            </w:r>
          </w:p>
        </w:tc>
      </w:tr>
      <w:tr w:rsidR="00B55A2F">
        <w:trPr>
          <w:trHeight w:val="227"/>
        </w:trPr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Text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Förslag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TS</w:t>
            </w:r>
            <w:proofErr w:type="gramStart"/>
            <w:r>
              <w:rPr>
                <w:rFonts w:cs="Arial"/>
              </w:rPr>
              <w:t>, ..</w:t>
            </w:r>
            <w:proofErr w:type="gramEnd"/>
          </w:p>
        </w:tc>
      </w:tr>
    </w:tbl>
    <w:p w:rsidR="00B55A2F" w:rsidRDefault="00B55A2F">
      <w:pPr>
        <w:tabs>
          <w:tab w:val="left" w:pos="567"/>
        </w:tabs>
        <w:spacing w:line="240" w:lineRule="atLeast"/>
        <w:jc w:val="left"/>
      </w:pPr>
    </w:p>
    <w:sectPr w:rsidR="00B55A2F">
      <w:headerReference w:type="default" r:id="rId8"/>
      <w:headerReference w:type="first" r:id="rId9"/>
      <w:footnotePr>
        <w:pos w:val="beneathText"/>
      </w:footnotePr>
      <w:pgSz w:w="16837" w:h="11905" w:orient="landscape"/>
      <w:pgMar w:top="850" w:right="1987" w:bottom="1138" w:left="1411" w:header="40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D1C" w:rsidRDefault="00D01D1C">
      <w:r>
        <w:separator/>
      </w:r>
    </w:p>
  </w:endnote>
  <w:endnote w:type="continuationSeparator" w:id="0">
    <w:p w:rsidR="00D01D1C" w:rsidRDefault="00D0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D1C" w:rsidRDefault="00D01D1C">
      <w:r>
        <w:separator/>
      </w:r>
    </w:p>
  </w:footnote>
  <w:footnote w:type="continuationSeparator" w:id="0">
    <w:p w:rsidR="00D01D1C" w:rsidRDefault="00D01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2F" w:rsidRDefault="00B55A2F">
    <w:pPr>
      <w:tabs>
        <w:tab w:val="left" w:pos="567"/>
        <w:tab w:val="left" w:pos="10206"/>
      </w:tabs>
      <w:spacing w:line="240" w:lineRule="atLeast"/>
      <w:jc w:val="left"/>
      <w:rPr>
        <w:b/>
        <w:color w:val="000000"/>
        <w:u w:val="single"/>
        <w:lang w:val="sv-SE"/>
      </w:rPr>
    </w:pPr>
    <w:r>
      <w:rPr>
        <w:b/>
        <w:color w:val="000000"/>
        <w:u w:val="single"/>
        <w:lang w:val="sv-SE"/>
      </w:rPr>
      <w:t>Bedömning av risker och möjligheter vid inköp och upphandling</w:t>
    </w:r>
  </w:p>
  <w:p w:rsidR="00B55A2F" w:rsidRPr="00B55A2F" w:rsidRDefault="00B55A2F">
    <w:pPr>
      <w:pStyle w:val="Sidhuvud"/>
      <w:jc w:val="left"/>
      <w:rPr>
        <w:lang w:val="sv-S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2F" w:rsidRDefault="00B55A2F">
    <w:pPr>
      <w:tabs>
        <w:tab w:val="left" w:pos="567"/>
        <w:tab w:val="left" w:pos="10206"/>
      </w:tabs>
      <w:spacing w:line="240" w:lineRule="atLeast"/>
      <w:jc w:val="left"/>
      <w:rPr>
        <w:b/>
        <w:color w:val="000000"/>
        <w:u w:val="single"/>
        <w:lang w:val="sv-SE"/>
      </w:rPr>
    </w:pPr>
    <w:r>
      <w:rPr>
        <w:b/>
        <w:color w:val="000000"/>
        <w:u w:val="single"/>
        <w:lang w:val="sv-SE"/>
      </w:rPr>
      <w:t>Bedömning av risker och möjligheter vid inköp och upphandling (PEST-analys)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39"/>
    <w:rsid w:val="00143388"/>
    <w:rsid w:val="00880910"/>
    <w:rsid w:val="00885239"/>
    <w:rsid w:val="00B55A2F"/>
    <w:rsid w:val="00D01D1C"/>
    <w:rsid w:val="00D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sz w:val="24"/>
      <w:lang w:val="en-US"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300" w:after="120"/>
      <w:outlineLvl w:val="0"/>
    </w:pPr>
    <w:rPr>
      <w:rFonts w:ascii="Helv" w:hAnsi="Helv"/>
      <w:b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120" w:after="60"/>
      <w:ind w:left="72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spacing w:before="240"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sz w:val="22"/>
    </w:rPr>
  </w:style>
  <w:style w:type="paragraph" w:styleId="Rubri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Rubri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customStyle="1" w:styleId="Standardstycketeckensnitt2">
    <w:name w:val="Standardstycketeckensnitt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u w:val="none"/>
    </w:rPr>
  </w:style>
  <w:style w:type="character" w:customStyle="1" w:styleId="WW8Num20z0">
    <w:name w:val="WW8Num20z0"/>
    <w:rPr>
      <w:rFonts w:ascii="Times New Roman" w:hAnsi="Times New Roman"/>
    </w:rPr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rdtext">
    <w:name w:val="Body Text"/>
    <w:basedOn w:val="Normal"/>
    <w:pPr>
      <w:tabs>
        <w:tab w:val="left" w:pos="567"/>
      </w:tabs>
      <w:spacing w:line="240" w:lineRule="atLeast"/>
      <w:jc w:val="left"/>
    </w:pPr>
    <w:rPr>
      <w:color w:val="000000"/>
    </w:rPr>
  </w:style>
  <w:style w:type="paragraph" w:styleId="Lista">
    <w:name w:val="List"/>
    <w:basedOn w:val="Normal"/>
    <w:pPr>
      <w:ind w:left="360" w:hanging="360"/>
    </w:p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Normaltindrag1">
    <w:name w:val="Normalt indrag1"/>
    <w:basedOn w:val="Normal"/>
    <w:pPr>
      <w:ind w:left="567"/>
    </w:pPr>
  </w:style>
  <w:style w:type="paragraph" w:styleId="Sidfot">
    <w:name w:val="footer"/>
    <w:basedOn w:val="Normal"/>
    <w:pPr>
      <w:tabs>
        <w:tab w:val="left" w:pos="1701"/>
        <w:tab w:val="right" w:pos="9639"/>
      </w:tabs>
    </w:pPr>
  </w:style>
  <w:style w:type="paragraph" w:styleId="Sidhuvud">
    <w:name w:val="header"/>
    <w:basedOn w:val="Normal"/>
    <w:pPr>
      <w:jc w:val="center"/>
    </w:pPr>
  </w:style>
  <w:style w:type="paragraph" w:customStyle="1" w:styleId="decimal">
    <w:name w:val="decimal"/>
    <w:basedOn w:val="Normal"/>
    <w:pPr>
      <w:tabs>
        <w:tab w:val="left" w:pos="567"/>
        <w:tab w:val="decimal" w:pos="1134"/>
        <w:tab w:val="left" w:pos="1701"/>
        <w:tab w:val="decimal" w:pos="2268"/>
        <w:tab w:val="left" w:pos="2835"/>
        <w:tab w:val="decimal" w:pos="3402"/>
        <w:tab w:val="left" w:pos="3969"/>
        <w:tab w:val="decimal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</w:pPr>
  </w:style>
  <w:style w:type="paragraph" w:customStyle="1" w:styleId="Appendix">
    <w:name w:val="Appendix"/>
    <w:basedOn w:val="Normal"/>
    <w:pPr>
      <w:tabs>
        <w:tab w:val="left" w:pos="540"/>
        <w:tab w:val="left" w:pos="1080"/>
        <w:tab w:val="left" w:pos="1710"/>
        <w:tab w:val="left" w:pos="2250"/>
      </w:tabs>
    </w:pPr>
    <w:rPr>
      <w:b/>
    </w:rPr>
  </w:style>
  <w:style w:type="paragraph" w:customStyle="1" w:styleId="Kommentarer1">
    <w:name w:val="Kommentarer1"/>
    <w:basedOn w:val="Normal"/>
  </w:style>
  <w:style w:type="paragraph" w:customStyle="1" w:styleId="Beskrivning1">
    <w:name w:val="Beskrivning1"/>
    <w:basedOn w:val="Normal"/>
    <w:next w:val="Normal"/>
    <w:pPr>
      <w:spacing w:before="120" w:after="120"/>
    </w:pPr>
    <w:rPr>
      <w:b/>
    </w:rPr>
  </w:style>
  <w:style w:type="paragraph" w:styleId="Innehll1">
    <w:name w:val="toc 1"/>
    <w:basedOn w:val="Normal"/>
    <w:next w:val="Normal"/>
    <w:semiHidden/>
    <w:pPr>
      <w:tabs>
        <w:tab w:val="right" w:pos="9027"/>
      </w:tabs>
      <w:jc w:val="left"/>
    </w:pPr>
    <w:rPr>
      <w:b/>
      <w:caps/>
    </w:rPr>
  </w:style>
  <w:style w:type="paragraph" w:styleId="Innehll2">
    <w:name w:val="toc 2"/>
    <w:basedOn w:val="Normal"/>
    <w:next w:val="Normal"/>
    <w:semiHidden/>
    <w:pPr>
      <w:tabs>
        <w:tab w:val="right" w:pos="9027"/>
      </w:tabs>
      <w:jc w:val="left"/>
    </w:pPr>
    <w:rPr>
      <w:b/>
    </w:rPr>
  </w:style>
  <w:style w:type="paragraph" w:styleId="Innehll3">
    <w:name w:val="toc 3"/>
    <w:basedOn w:val="Normal"/>
    <w:next w:val="Normal"/>
    <w:semiHidden/>
    <w:pPr>
      <w:tabs>
        <w:tab w:val="right" w:pos="9027"/>
      </w:tabs>
      <w:ind w:left="400"/>
      <w:jc w:val="left"/>
    </w:pPr>
    <w:rPr>
      <w:rFonts w:ascii="Times New Roman" w:hAnsi="Times New Roman"/>
    </w:rPr>
  </w:style>
  <w:style w:type="paragraph" w:styleId="Innehll4">
    <w:name w:val="toc 4"/>
    <w:basedOn w:val="Normal"/>
    <w:next w:val="Normal"/>
    <w:semiHidden/>
    <w:pPr>
      <w:tabs>
        <w:tab w:val="right" w:pos="9027"/>
      </w:tabs>
      <w:ind w:left="600"/>
      <w:jc w:val="left"/>
    </w:pPr>
    <w:rPr>
      <w:rFonts w:ascii="Times New Roman" w:hAnsi="Times New Roman"/>
    </w:rPr>
  </w:style>
  <w:style w:type="paragraph" w:styleId="Innehll5">
    <w:name w:val="toc 5"/>
    <w:basedOn w:val="Normal"/>
    <w:next w:val="Normal"/>
    <w:semiHidden/>
    <w:pPr>
      <w:tabs>
        <w:tab w:val="right" w:pos="9027"/>
      </w:tabs>
      <w:ind w:left="800"/>
      <w:jc w:val="left"/>
    </w:pPr>
    <w:rPr>
      <w:rFonts w:ascii="Times New Roman" w:hAnsi="Times New Roman"/>
    </w:rPr>
  </w:style>
  <w:style w:type="paragraph" w:styleId="Innehll6">
    <w:name w:val="toc 6"/>
    <w:basedOn w:val="Normal"/>
    <w:next w:val="Normal"/>
    <w:semiHidden/>
    <w:pPr>
      <w:tabs>
        <w:tab w:val="right" w:pos="9027"/>
      </w:tabs>
      <w:ind w:left="1000"/>
      <w:jc w:val="left"/>
    </w:pPr>
    <w:rPr>
      <w:rFonts w:ascii="Times New Roman" w:hAnsi="Times New Roman"/>
    </w:rPr>
  </w:style>
  <w:style w:type="paragraph" w:styleId="Innehll7">
    <w:name w:val="toc 7"/>
    <w:basedOn w:val="Normal"/>
    <w:next w:val="Normal"/>
    <w:semiHidden/>
    <w:pPr>
      <w:tabs>
        <w:tab w:val="right" w:pos="9027"/>
      </w:tabs>
      <w:ind w:left="1200"/>
      <w:jc w:val="left"/>
    </w:pPr>
    <w:rPr>
      <w:rFonts w:ascii="Times New Roman" w:hAnsi="Times New Roman"/>
    </w:rPr>
  </w:style>
  <w:style w:type="paragraph" w:styleId="Innehll8">
    <w:name w:val="toc 8"/>
    <w:basedOn w:val="Normal"/>
    <w:next w:val="Normal"/>
    <w:semiHidden/>
    <w:pPr>
      <w:tabs>
        <w:tab w:val="right" w:pos="9027"/>
      </w:tabs>
      <w:ind w:left="1400"/>
      <w:jc w:val="left"/>
    </w:pPr>
    <w:rPr>
      <w:rFonts w:ascii="Times New Roman" w:hAnsi="Times New Roman"/>
    </w:rPr>
  </w:style>
  <w:style w:type="paragraph" w:styleId="Innehll9">
    <w:name w:val="toc 9"/>
    <w:basedOn w:val="Normal"/>
    <w:next w:val="Normal"/>
    <w:semiHidden/>
    <w:pPr>
      <w:tabs>
        <w:tab w:val="right" w:pos="9027"/>
      </w:tabs>
      <w:ind w:left="1600"/>
      <w:jc w:val="left"/>
    </w:pPr>
    <w:rPr>
      <w:rFonts w:ascii="Times New Roman" w:hAnsi="Times New Roman"/>
    </w:rPr>
  </w:style>
  <w:style w:type="paragraph" w:styleId="Index1">
    <w:name w:val="index 1"/>
    <w:basedOn w:val="Normal"/>
    <w:next w:val="Normal"/>
    <w:semiHidden/>
    <w:pPr>
      <w:tabs>
        <w:tab w:val="right" w:pos="4153"/>
      </w:tabs>
      <w:ind w:left="200" w:hanging="200"/>
      <w:jc w:val="left"/>
    </w:pPr>
    <w:rPr>
      <w:rFonts w:ascii="Times New Roman" w:hAnsi="Times New Roman"/>
      <w:sz w:val="18"/>
    </w:rPr>
  </w:style>
  <w:style w:type="paragraph" w:styleId="Index2">
    <w:name w:val="index 2"/>
    <w:basedOn w:val="Normal"/>
    <w:next w:val="Normal"/>
    <w:semiHidden/>
    <w:pPr>
      <w:tabs>
        <w:tab w:val="right" w:pos="4153"/>
      </w:tabs>
      <w:ind w:left="400" w:hanging="200"/>
      <w:jc w:val="left"/>
    </w:pPr>
    <w:rPr>
      <w:rFonts w:ascii="Times New Roman" w:hAnsi="Times New Roman"/>
      <w:sz w:val="18"/>
    </w:rPr>
  </w:style>
  <w:style w:type="paragraph" w:styleId="Index3">
    <w:name w:val="index 3"/>
    <w:basedOn w:val="Normal"/>
    <w:next w:val="Normal"/>
    <w:semiHidden/>
    <w:pPr>
      <w:tabs>
        <w:tab w:val="right" w:pos="4153"/>
      </w:tabs>
      <w:ind w:left="600" w:hanging="200"/>
      <w:jc w:val="left"/>
    </w:pPr>
    <w:rPr>
      <w:rFonts w:ascii="Times New Roman" w:hAnsi="Times New Roman"/>
      <w:sz w:val="18"/>
    </w:rPr>
  </w:style>
  <w:style w:type="paragraph" w:customStyle="1" w:styleId="Index41">
    <w:name w:val="Index 41"/>
    <w:basedOn w:val="Normal"/>
    <w:next w:val="Normal"/>
    <w:pPr>
      <w:tabs>
        <w:tab w:val="right" w:pos="4153"/>
      </w:tabs>
      <w:ind w:left="800" w:hanging="200"/>
      <w:jc w:val="left"/>
    </w:pPr>
    <w:rPr>
      <w:rFonts w:ascii="Times New Roman" w:hAnsi="Times New Roman"/>
      <w:sz w:val="18"/>
    </w:rPr>
  </w:style>
  <w:style w:type="paragraph" w:customStyle="1" w:styleId="Index51">
    <w:name w:val="Index 51"/>
    <w:basedOn w:val="Normal"/>
    <w:next w:val="Normal"/>
    <w:pPr>
      <w:tabs>
        <w:tab w:val="right" w:pos="4153"/>
      </w:tabs>
      <w:ind w:left="1000" w:hanging="200"/>
      <w:jc w:val="left"/>
    </w:pPr>
    <w:rPr>
      <w:rFonts w:ascii="Times New Roman" w:hAnsi="Times New Roman"/>
      <w:sz w:val="18"/>
    </w:rPr>
  </w:style>
  <w:style w:type="paragraph" w:customStyle="1" w:styleId="Index61">
    <w:name w:val="Index 61"/>
    <w:basedOn w:val="Normal"/>
    <w:next w:val="Normal"/>
    <w:pPr>
      <w:tabs>
        <w:tab w:val="right" w:pos="4153"/>
      </w:tabs>
      <w:ind w:left="1200" w:hanging="200"/>
      <w:jc w:val="left"/>
    </w:pPr>
    <w:rPr>
      <w:rFonts w:ascii="Times New Roman" w:hAnsi="Times New Roman"/>
      <w:sz w:val="18"/>
    </w:rPr>
  </w:style>
  <w:style w:type="paragraph" w:customStyle="1" w:styleId="Index71">
    <w:name w:val="Index 71"/>
    <w:basedOn w:val="Normal"/>
    <w:next w:val="Normal"/>
    <w:pPr>
      <w:tabs>
        <w:tab w:val="right" w:pos="4153"/>
      </w:tabs>
      <w:ind w:left="1400" w:hanging="200"/>
      <w:jc w:val="left"/>
    </w:pPr>
    <w:rPr>
      <w:rFonts w:ascii="Times New Roman" w:hAnsi="Times New Roman"/>
      <w:sz w:val="18"/>
    </w:rPr>
  </w:style>
  <w:style w:type="paragraph" w:customStyle="1" w:styleId="Index81">
    <w:name w:val="Index 81"/>
    <w:basedOn w:val="Normal"/>
    <w:next w:val="Normal"/>
    <w:pPr>
      <w:tabs>
        <w:tab w:val="right" w:pos="4153"/>
      </w:tabs>
      <w:ind w:left="1600" w:hanging="200"/>
      <w:jc w:val="left"/>
    </w:pPr>
    <w:rPr>
      <w:rFonts w:ascii="Times New Roman" w:hAnsi="Times New Roman"/>
      <w:sz w:val="18"/>
    </w:rPr>
  </w:style>
  <w:style w:type="paragraph" w:customStyle="1" w:styleId="Index91">
    <w:name w:val="Index 91"/>
    <w:basedOn w:val="Normal"/>
    <w:next w:val="Normal"/>
    <w:pPr>
      <w:tabs>
        <w:tab w:val="right" w:pos="4153"/>
      </w:tabs>
      <w:ind w:left="1800" w:hanging="200"/>
      <w:jc w:val="left"/>
    </w:pPr>
    <w:rPr>
      <w:rFonts w:ascii="Times New Roman" w:hAnsi="Times New Roman"/>
      <w:sz w:val="18"/>
    </w:rPr>
  </w:style>
  <w:style w:type="paragraph" w:styleId="Indexrubrik">
    <w:name w:val="index heading"/>
    <w:basedOn w:val="Normal"/>
    <w:next w:val="Index1"/>
    <w:semiHidden/>
    <w:pPr>
      <w:spacing w:before="240" w:after="120"/>
      <w:ind w:left="140"/>
      <w:jc w:val="left"/>
    </w:pPr>
    <w:rPr>
      <w:b/>
      <w:sz w:val="28"/>
    </w:rPr>
  </w:style>
  <w:style w:type="paragraph" w:customStyle="1" w:styleId="Brdtext21">
    <w:name w:val="Brödtext 21"/>
    <w:basedOn w:val="Normal"/>
    <w:pPr>
      <w:tabs>
        <w:tab w:val="left" w:pos="567"/>
      </w:tabs>
      <w:spacing w:line="240" w:lineRule="atLeast"/>
      <w:ind w:left="567" w:hanging="567"/>
    </w:pPr>
    <w:rPr>
      <w:color w:val="000000"/>
    </w:rPr>
  </w:style>
  <w:style w:type="paragraph" w:customStyle="1" w:styleId="Brdtextmedindrag21">
    <w:name w:val="Brödtext med indrag 21"/>
    <w:basedOn w:val="Normal"/>
    <w:pPr>
      <w:tabs>
        <w:tab w:val="left" w:pos="567"/>
      </w:tabs>
      <w:spacing w:line="240" w:lineRule="atLeast"/>
      <w:ind w:left="2977" w:hanging="2977"/>
      <w:jc w:val="left"/>
    </w:pPr>
    <w:rPr>
      <w:color w:val="000000"/>
    </w:rPr>
  </w:style>
  <w:style w:type="paragraph" w:customStyle="1" w:styleId="WW-Brdtext2">
    <w:name w:val="WW-Brödtext 2"/>
    <w:basedOn w:val="Normal"/>
    <w:pPr>
      <w:tabs>
        <w:tab w:val="left" w:pos="567"/>
      </w:tabs>
      <w:spacing w:line="240" w:lineRule="atLeast"/>
    </w:pPr>
    <w:rPr>
      <w:color w:val="000000"/>
    </w:rPr>
  </w:style>
  <w:style w:type="paragraph" w:customStyle="1" w:styleId="Brdtext31">
    <w:name w:val="Brödtext 31"/>
    <w:basedOn w:val="Normal"/>
    <w:pPr>
      <w:tabs>
        <w:tab w:val="left" w:pos="567"/>
      </w:tabs>
      <w:spacing w:line="240" w:lineRule="atLeast"/>
      <w:jc w:val="left"/>
    </w:pPr>
    <w:rPr>
      <w:b/>
      <w:color w:val="000000"/>
    </w:rPr>
  </w:style>
  <w:style w:type="paragraph" w:customStyle="1" w:styleId="Lista21">
    <w:name w:val="Lista 21"/>
    <w:basedOn w:val="Normal"/>
    <w:pPr>
      <w:ind w:left="720" w:hanging="360"/>
    </w:pPr>
  </w:style>
  <w:style w:type="paragraph" w:customStyle="1" w:styleId="Meddelanderubrik1">
    <w:name w:val="Meddelanderubrik1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</w:style>
  <w:style w:type="paragraph" w:customStyle="1" w:styleId="Punktlista21">
    <w:name w:val="Punktlista 21"/>
    <w:basedOn w:val="Normal"/>
  </w:style>
  <w:style w:type="paragraph" w:customStyle="1" w:styleId="Listafortstt1">
    <w:name w:val="Lista fortsätt1"/>
    <w:basedOn w:val="Normal"/>
    <w:pPr>
      <w:spacing w:after="120"/>
      <w:ind w:left="360"/>
    </w:pPr>
  </w:style>
  <w:style w:type="paragraph" w:styleId="Rubrik">
    <w:name w:val="Title"/>
    <w:basedOn w:val="Normal"/>
    <w:next w:val="Underrubrik"/>
    <w:qFormat/>
    <w:pPr>
      <w:spacing w:before="240" w:after="60"/>
      <w:jc w:val="center"/>
    </w:pPr>
    <w:rPr>
      <w:b/>
      <w:kern w:val="1"/>
      <w:sz w:val="32"/>
    </w:rPr>
  </w:style>
  <w:style w:type="paragraph" w:styleId="Underrubrik">
    <w:name w:val="Subtitle"/>
    <w:basedOn w:val="verskrift"/>
    <w:next w:val="Brdtext"/>
    <w:qFormat/>
    <w:pPr>
      <w:jc w:val="center"/>
    </w:pPr>
    <w:rPr>
      <w:i/>
      <w:iCs/>
    </w:rPr>
  </w:style>
  <w:style w:type="paragraph" w:customStyle="1" w:styleId="Brdtextmedindrag31">
    <w:name w:val="Brödtext med indrag 31"/>
    <w:basedOn w:val="Normal"/>
    <w:pPr>
      <w:tabs>
        <w:tab w:val="left" w:pos="639"/>
        <w:tab w:val="left" w:pos="1065"/>
      </w:tabs>
      <w:spacing w:line="240" w:lineRule="atLeast"/>
      <w:ind w:left="639" w:hanging="639"/>
      <w:jc w:val="left"/>
    </w:pPr>
    <w:rPr>
      <w:color w:val="000000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Bedömning av risker och möjligheter vid inköp</vt:lpstr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Bedömning av risker och möjligheter vid inköp</dc:title>
  <dc:subject/>
  <dc:creator/>
  <cp:keywords/>
  <cp:lastModifiedBy/>
  <cp:revision>1</cp:revision>
  <cp:lastPrinted>1601-01-01T00:00:00Z</cp:lastPrinted>
  <dcterms:created xsi:type="dcterms:W3CDTF">2021-05-24T07:53:00Z</dcterms:created>
  <dcterms:modified xsi:type="dcterms:W3CDTF">2021-05-24T07:53:00Z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upp">
    <vt:bool>true</vt:bool>
  </property>
</Properties>
</file>